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F7067" w14:textId="77777777" w:rsidR="00D91AAD" w:rsidRPr="00A816BC" w:rsidRDefault="00D91AAD">
      <w:pPr>
        <w:rPr>
          <w:color w:val="0A5596"/>
        </w:rPr>
      </w:pPr>
    </w:p>
    <w:p w14:paraId="022CCB2C" w14:textId="0B7B15C7" w:rsidR="00A703E2" w:rsidRPr="0072723A" w:rsidRDefault="00A703E2" w:rsidP="00A703E2">
      <w:pPr>
        <w:jc w:val="center"/>
        <w:rPr>
          <w:rFonts w:cstheme="minorHAnsi"/>
          <w:color w:val="0A5596"/>
          <w:sz w:val="44"/>
          <w:szCs w:val="44"/>
        </w:rPr>
      </w:pPr>
      <w:r w:rsidRPr="00FB7E5E">
        <w:rPr>
          <w:rFonts w:cstheme="minorHAnsi"/>
          <w:color w:val="0A5596"/>
          <w:sz w:val="44"/>
          <w:szCs w:val="44"/>
        </w:rPr>
        <w:t xml:space="preserve">COSTA RICA: EVOLUCIÓN DEL MERCADO DE </w:t>
      </w:r>
      <w:r w:rsidRPr="0072723A">
        <w:rPr>
          <w:rFonts w:cstheme="minorHAnsi"/>
          <w:color w:val="0A5596"/>
          <w:sz w:val="44"/>
          <w:szCs w:val="44"/>
        </w:rPr>
        <w:t>SEGUROS EN EL 2022</w:t>
      </w:r>
    </w:p>
    <w:p w14:paraId="34448AF6" w14:textId="65181426" w:rsidR="00A703E2" w:rsidRPr="0059488F" w:rsidRDefault="0059488F" w:rsidP="00A703E2">
      <w:pPr>
        <w:jc w:val="center"/>
        <w:rPr>
          <w:rFonts w:cstheme="minorHAnsi"/>
          <w:b/>
          <w:bCs/>
        </w:rPr>
      </w:pPr>
      <w:r w:rsidRPr="0059488F">
        <w:rPr>
          <w:rFonts w:cstheme="minorHAnsi"/>
          <w:b/>
          <w:bCs/>
        </w:rPr>
        <w:t>Resumen Ejecutivo</w:t>
      </w:r>
    </w:p>
    <w:p w14:paraId="20BAEC73" w14:textId="77777777" w:rsidR="00D708B2" w:rsidRPr="0059488F" w:rsidRDefault="00D708B2" w:rsidP="00D708B2">
      <w:pPr>
        <w:spacing w:line="240" w:lineRule="auto"/>
        <w:jc w:val="both"/>
        <w:rPr>
          <w:rFonts w:cstheme="minorHAnsi"/>
        </w:rPr>
      </w:pPr>
      <w:r w:rsidRPr="0059488F">
        <w:rPr>
          <w:rFonts w:cstheme="minorHAnsi"/>
        </w:rPr>
        <w:t>El 2022 marcó el regreso a una nueva normalidad, después de atravesar por casi tres años la pandemia de la COVID-19, para dar paso a la endemia relacionada con este virus. Esto trajo consigo el regreso a las labores presenciales en casi todo el país, llevando a la ciudadanía a adoptar una modalidad de trabajo híbrido, que sin lugar a duda presentó grandes retos para la sociedad y la economía nacional y ante la cual el mercado asegurador no fue la excepción.</w:t>
      </w:r>
    </w:p>
    <w:p w14:paraId="310784E7" w14:textId="086F61B1" w:rsidR="00D708B2" w:rsidRPr="0059488F" w:rsidRDefault="00D708B2" w:rsidP="00D708B2">
      <w:pPr>
        <w:spacing w:line="240" w:lineRule="auto"/>
        <w:jc w:val="both"/>
        <w:rPr>
          <w:rFonts w:cstheme="minorHAnsi"/>
        </w:rPr>
      </w:pPr>
      <w:r w:rsidRPr="0059488F">
        <w:rPr>
          <w:rFonts w:cstheme="minorHAnsi"/>
        </w:rPr>
        <w:t>El 2022 también significó la continuación lenta, pero un poco más marcada, de la recuperación económica, así como de la puesta en marcha de innovaciones en el mercado asegurador, que supo encontrar en la pandemia oportunidades para potenciar productos de seguros que ahora resultan indispensables, así como novedades en el mercado que antes no se vislumbraban a corto plazo.</w:t>
      </w:r>
    </w:p>
    <w:p w14:paraId="08825CED" w14:textId="11D08A80" w:rsidR="00D708B2" w:rsidRPr="0059488F" w:rsidRDefault="00561C4D" w:rsidP="00D708B2">
      <w:pPr>
        <w:spacing w:after="0" w:line="240" w:lineRule="auto"/>
        <w:jc w:val="both"/>
        <w:rPr>
          <w:rFonts w:cstheme="minorHAnsi"/>
        </w:rPr>
      </w:pPr>
      <w:r>
        <w:rPr>
          <w:rFonts w:cstheme="minorHAnsi"/>
        </w:rPr>
        <w:t>E</w:t>
      </w:r>
      <w:r w:rsidR="00D708B2" w:rsidRPr="0059488F">
        <w:rPr>
          <w:rFonts w:cstheme="minorHAnsi"/>
        </w:rPr>
        <w:t xml:space="preserve">l mercado asegurador costarricense experimentó un crecimiento de 13% del 2021 al 2022, alcanzando los ingresos por primas </w:t>
      </w:r>
      <w:r w:rsidR="00D708B2" w:rsidRPr="00663EBE">
        <w:rPr>
          <w:rFonts w:cstheme="minorHAnsi"/>
        </w:rPr>
        <w:t>totales de ₡1.018 miles de millones. La dinámica</w:t>
      </w:r>
      <w:r w:rsidR="00D708B2" w:rsidRPr="0059488F">
        <w:rPr>
          <w:rFonts w:cstheme="minorHAnsi"/>
        </w:rPr>
        <w:t xml:space="preserve"> es sobresaliente cuando se compara con la evolución del PIB</w:t>
      </w:r>
      <w:r w:rsidR="001705E3">
        <w:rPr>
          <w:rFonts w:cstheme="minorHAnsi"/>
        </w:rPr>
        <w:t>,</w:t>
      </w:r>
      <w:r w:rsidR="00D708B2" w:rsidRPr="0059488F">
        <w:rPr>
          <w:rFonts w:cstheme="minorHAnsi"/>
        </w:rPr>
        <w:t xml:space="preserve"> </w:t>
      </w:r>
      <w:r w:rsidR="00B4357D">
        <w:rPr>
          <w:rFonts w:cstheme="minorHAnsi"/>
        </w:rPr>
        <w:t xml:space="preserve">ya que </w:t>
      </w:r>
      <w:r w:rsidR="008B69C4">
        <w:rPr>
          <w:rFonts w:cstheme="minorHAnsi"/>
        </w:rPr>
        <w:t>su</w:t>
      </w:r>
      <w:r w:rsidR="00D708B2" w:rsidRPr="0059488F">
        <w:rPr>
          <w:rFonts w:cstheme="minorHAnsi"/>
        </w:rPr>
        <w:t xml:space="preserve"> tasa de crecimiento alcanzó niveles similares de dos dígitos, tanto para seguros obligatorios como voluntarios y dentro de estos últimos, para las dos categorías (personales y generales). Sin embargo, a nivel absoluto, 76% del crecimiento obedeció a los seguros voluntarios, lo cual refleja parcialmente al proceso de maduración del mercado y que también se aprecia en el crecimiento de la prima per cápita (densidad del seguro), en colones, que pasó de ₡174 </w:t>
      </w:r>
      <w:r w:rsidR="00865C73">
        <w:rPr>
          <w:rFonts w:cstheme="minorHAnsi"/>
        </w:rPr>
        <w:t xml:space="preserve">mil </w:t>
      </w:r>
      <w:r w:rsidR="00D708B2" w:rsidRPr="0059488F">
        <w:rPr>
          <w:rFonts w:cstheme="minorHAnsi"/>
        </w:rPr>
        <w:t xml:space="preserve">a ₡195 mil (12%) de 2021 a 2022 y de la </w:t>
      </w:r>
      <w:bookmarkStart w:id="0" w:name="_Hlk134738491"/>
      <w:r w:rsidR="00D708B2" w:rsidRPr="0059488F">
        <w:rPr>
          <w:rFonts w:cstheme="minorHAnsi"/>
        </w:rPr>
        <w:t xml:space="preserve">penetración de seguros (razón de ingresos por primas respecto al Producto Interno Bruto), que pasó </w:t>
      </w:r>
      <w:r w:rsidR="00D708B2" w:rsidRPr="00865C73">
        <w:rPr>
          <w:rFonts w:cstheme="minorHAnsi"/>
        </w:rPr>
        <w:t>de 2,</w:t>
      </w:r>
      <w:r w:rsidR="00865C73" w:rsidRPr="00865C73">
        <w:rPr>
          <w:rFonts w:cstheme="minorHAnsi"/>
        </w:rPr>
        <w:t>4</w:t>
      </w:r>
      <w:r w:rsidR="00D708B2" w:rsidRPr="00865C73">
        <w:rPr>
          <w:rFonts w:cstheme="minorHAnsi"/>
        </w:rPr>
        <w:t>% a 2,6%</w:t>
      </w:r>
      <w:bookmarkEnd w:id="0"/>
      <w:r w:rsidR="00D708B2" w:rsidRPr="00865C73">
        <w:rPr>
          <w:rFonts w:cstheme="minorHAnsi"/>
        </w:rPr>
        <w:t xml:space="preserve"> (0,</w:t>
      </w:r>
      <w:r w:rsidR="00865C73" w:rsidRPr="00865C73">
        <w:rPr>
          <w:rFonts w:cstheme="minorHAnsi"/>
        </w:rPr>
        <w:t>2</w:t>
      </w:r>
      <w:r w:rsidR="00D708B2" w:rsidRPr="00865C73">
        <w:rPr>
          <w:rFonts w:cstheme="minorHAnsi"/>
        </w:rPr>
        <w:t xml:space="preserve"> p.p., </w:t>
      </w:r>
      <w:r w:rsidR="00865C73" w:rsidRPr="00865C73">
        <w:rPr>
          <w:rFonts w:cstheme="minorHAnsi"/>
        </w:rPr>
        <w:t>8</w:t>
      </w:r>
      <w:r w:rsidR="00D708B2" w:rsidRPr="00865C73">
        <w:rPr>
          <w:rFonts w:cstheme="minorHAnsi"/>
        </w:rPr>
        <w:t>%) en ese mismo periodo.</w:t>
      </w:r>
    </w:p>
    <w:p w14:paraId="0C339CC2" w14:textId="77777777" w:rsidR="00D708B2" w:rsidRPr="0059488F" w:rsidRDefault="00D708B2" w:rsidP="00D708B2">
      <w:pPr>
        <w:spacing w:after="0" w:line="240" w:lineRule="auto"/>
        <w:jc w:val="both"/>
        <w:rPr>
          <w:rFonts w:cstheme="minorHAnsi"/>
        </w:rPr>
      </w:pPr>
    </w:p>
    <w:p w14:paraId="33117BD8" w14:textId="00E6253D" w:rsidR="00D708B2" w:rsidRPr="0059488F" w:rsidRDefault="00D708B2" w:rsidP="00D708B2">
      <w:pPr>
        <w:spacing w:after="0" w:line="240" w:lineRule="auto"/>
        <w:jc w:val="both"/>
        <w:rPr>
          <w:rFonts w:cstheme="minorHAnsi"/>
        </w:rPr>
      </w:pPr>
      <w:r w:rsidRPr="0059488F">
        <w:rPr>
          <w:rFonts w:cstheme="minorHAnsi"/>
        </w:rPr>
        <w:t>Desde la apertura del mercado de seguros en 2008 hasta el 2022, las primas totales en general y, específicamente las asociadas a seguros voluntario</w:t>
      </w:r>
      <w:r w:rsidR="00010FCF">
        <w:rPr>
          <w:rFonts w:cstheme="minorHAnsi"/>
        </w:rPr>
        <w:t>s</w:t>
      </w:r>
      <w:r w:rsidRPr="0059488F">
        <w:rPr>
          <w:rFonts w:cstheme="minorHAnsi"/>
        </w:rPr>
        <w:t xml:space="preserve">, más que se triplicaron. Los principales ramos de seguros voluntarios se mantuvieron: vida, automóviles, salud e incendios y líneas aliadas; no obstante, se ha presentado una recomposición interna dentro de ese grupo y por primera vez, </w:t>
      </w:r>
      <w:r w:rsidR="00453868">
        <w:rPr>
          <w:rFonts w:cstheme="minorHAnsi"/>
        </w:rPr>
        <w:t xml:space="preserve">el ramo de </w:t>
      </w:r>
      <w:r w:rsidRPr="0059488F">
        <w:rPr>
          <w:rFonts w:cstheme="minorHAnsi"/>
        </w:rPr>
        <w:t xml:space="preserve">vida se coloca como el principal, puesto históricamente ocupado por </w:t>
      </w:r>
      <w:r w:rsidR="00453868">
        <w:rPr>
          <w:rFonts w:cstheme="minorHAnsi"/>
        </w:rPr>
        <w:t xml:space="preserve">el ramo de </w:t>
      </w:r>
      <w:r w:rsidRPr="0059488F">
        <w:rPr>
          <w:rFonts w:cstheme="minorHAnsi"/>
        </w:rPr>
        <w:t xml:space="preserve">automóviles, lo que resalta una mayor diversificación y profundización del mercado. </w:t>
      </w:r>
    </w:p>
    <w:p w14:paraId="40C8DE3E" w14:textId="77777777" w:rsidR="00D708B2" w:rsidRPr="0059488F" w:rsidRDefault="00D708B2" w:rsidP="00D708B2">
      <w:pPr>
        <w:spacing w:after="0" w:line="240" w:lineRule="auto"/>
        <w:jc w:val="both"/>
        <w:rPr>
          <w:rFonts w:cstheme="minorHAnsi"/>
          <w:highlight w:val="yellow"/>
        </w:rPr>
      </w:pPr>
    </w:p>
    <w:p w14:paraId="59DA8F9B" w14:textId="77777777" w:rsidR="00D708B2" w:rsidRPr="0059488F" w:rsidRDefault="00D708B2" w:rsidP="00D708B2">
      <w:pPr>
        <w:spacing w:after="0" w:line="240" w:lineRule="auto"/>
        <w:jc w:val="both"/>
        <w:rPr>
          <w:rFonts w:cstheme="minorHAnsi"/>
        </w:rPr>
      </w:pPr>
      <w:r w:rsidRPr="0059488F">
        <w:rPr>
          <w:rFonts w:cstheme="minorHAnsi"/>
        </w:rPr>
        <w:t>De acuerdo con el Índice de Herfindahl-Hirschman (IHH), la concentración del mercado de seguros mantiene su tendencia decreciente invariable. Al cierre de 2022, el IHH se redujo un 56,5% para el total del mercado y en un 66,5% en el caso de los seguros voluntarios, en ambos casos respecto a la situación de monopolio.</w:t>
      </w:r>
    </w:p>
    <w:p w14:paraId="30C4238C" w14:textId="77777777" w:rsidR="00D708B2" w:rsidRPr="0059488F" w:rsidRDefault="00D708B2" w:rsidP="00D708B2">
      <w:pPr>
        <w:spacing w:after="0" w:line="240" w:lineRule="auto"/>
        <w:jc w:val="both"/>
        <w:rPr>
          <w:rFonts w:cstheme="minorHAnsi"/>
          <w:highlight w:val="yellow"/>
        </w:rPr>
      </w:pPr>
    </w:p>
    <w:p w14:paraId="6F947D76" w14:textId="477E2ADC" w:rsidR="00D708B2" w:rsidRPr="0059488F" w:rsidRDefault="00D708B2" w:rsidP="00D708B2">
      <w:pPr>
        <w:spacing w:after="0" w:line="240" w:lineRule="auto"/>
        <w:jc w:val="both"/>
        <w:rPr>
          <w:rFonts w:eastAsia="Calibri" w:cstheme="minorHAnsi"/>
        </w:rPr>
      </w:pPr>
      <w:r w:rsidRPr="0059488F">
        <w:rPr>
          <w:rFonts w:cstheme="minorHAnsi"/>
        </w:rPr>
        <w:t xml:space="preserve">En relación el número de participantes y productos ofrecidos en el mercado de seguros, la evolución fue similar a la de años previos. Destacó la finalización del </w:t>
      </w:r>
      <w:r w:rsidRPr="0059488F">
        <w:rPr>
          <w:rFonts w:eastAsia="Calibri" w:cstheme="minorHAnsi"/>
        </w:rPr>
        <w:t xml:space="preserve">proceso de ampliación de la licencia de Seguros Lafise, S.A. a seguros personales y </w:t>
      </w:r>
      <w:r w:rsidR="001705E3">
        <w:rPr>
          <w:rFonts w:eastAsia="Calibri" w:cstheme="minorHAnsi"/>
        </w:rPr>
        <w:t xml:space="preserve">la </w:t>
      </w:r>
      <w:r w:rsidRPr="0059488F">
        <w:rPr>
          <w:rFonts w:eastAsia="Calibri" w:cstheme="minorHAnsi"/>
        </w:rPr>
        <w:t xml:space="preserve">autorización de </w:t>
      </w:r>
      <w:r w:rsidRPr="0059488F">
        <w:rPr>
          <w:rFonts w:cstheme="minorHAnsi"/>
        </w:rPr>
        <w:t xml:space="preserve">cese voluntario de operaciones y transferencia de cartera de la sucursal en Costa Rica de </w:t>
      </w:r>
      <w:r w:rsidRPr="0059488F">
        <w:rPr>
          <w:rFonts w:eastAsia="Calibri" w:cstheme="minorHAnsi"/>
        </w:rPr>
        <w:t>Triple-S Blue, INC. I.I.</w:t>
      </w:r>
      <w:r w:rsidRPr="0059488F">
        <w:rPr>
          <w:rFonts w:cstheme="minorHAnsi"/>
        </w:rPr>
        <w:t xml:space="preserve">, la cual, al cierre de 2022, se encontraba en su etapa final de inscripción de la disolución en el Registro Nacional. </w:t>
      </w:r>
    </w:p>
    <w:p w14:paraId="1D7B9829" w14:textId="72AC495E" w:rsidR="0099407F" w:rsidRPr="00FB7E5E" w:rsidRDefault="0099407F" w:rsidP="0059488F">
      <w:pPr>
        <w:pStyle w:val="Prrafodelista"/>
        <w:keepNext/>
        <w:keepLines/>
        <w:numPr>
          <w:ilvl w:val="0"/>
          <w:numId w:val="48"/>
        </w:numPr>
        <w:spacing w:before="200" w:after="0" w:line="240" w:lineRule="auto"/>
        <w:jc w:val="both"/>
        <w:outlineLvl w:val="1"/>
        <w:rPr>
          <w:rFonts w:cstheme="minorHAnsi"/>
          <w:b/>
          <w:bCs/>
          <w:sz w:val="24"/>
          <w:szCs w:val="24"/>
        </w:rPr>
      </w:pPr>
      <w:r w:rsidRPr="00FB7E5E">
        <w:rPr>
          <w:rFonts w:cstheme="minorHAnsi"/>
          <w:b/>
          <w:bCs/>
          <w:sz w:val="24"/>
          <w:szCs w:val="24"/>
        </w:rPr>
        <w:lastRenderedPageBreak/>
        <w:t>Evolución de primas</w:t>
      </w:r>
    </w:p>
    <w:p w14:paraId="29892B59" w14:textId="77777777" w:rsidR="0099407F" w:rsidRPr="00FB7E5E" w:rsidRDefault="0099407F" w:rsidP="0059488F"/>
    <w:p w14:paraId="0E50AFA1" w14:textId="2777583E" w:rsidR="0099407F" w:rsidRPr="0072723A" w:rsidRDefault="0099407F" w:rsidP="0099407F">
      <w:pPr>
        <w:spacing w:after="0"/>
        <w:ind w:right="29"/>
        <w:jc w:val="both"/>
        <w:rPr>
          <w:rFonts w:cstheme="minorHAnsi"/>
          <w:color w:val="000000" w:themeColor="text1"/>
        </w:rPr>
      </w:pPr>
      <w:r w:rsidRPr="0072723A">
        <w:rPr>
          <w:rFonts w:cstheme="minorHAnsi"/>
          <w:color w:val="000000" w:themeColor="text1"/>
        </w:rPr>
        <w:t xml:space="preserve">El cierre de 2022 mostró resultados positivos para el mercado asegurador costarricense. El monto de primas sobrepasó la </w:t>
      </w:r>
      <w:r w:rsidRPr="00663EBE">
        <w:rPr>
          <w:rFonts w:cstheme="minorHAnsi"/>
          <w:color w:val="000000" w:themeColor="text1"/>
        </w:rPr>
        <w:t xml:space="preserve">barrera de los ₡1.000 </w:t>
      </w:r>
      <w:r w:rsidR="00663EBE" w:rsidRPr="00663EBE">
        <w:rPr>
          <w:rFonts w:cstheme="minorHAnsi"/>
          <w:color w:val="000000" w:themeColor="text1"/>
        </w:rPr>
        <w:t xml:space="preserve">miles de </w:t>
      </w:r>
      <w:r w:rsidRPr="00663EBE">
        <w:rPr>
          <w:rFonts w:cstheme="minorHAnsi"/>
          <w:color w:val="000000" w:themeColor="text1"/>
        </w:rPr>
        <w:t>millones,</w:t>
      </w:r>
      <w:r w:rsidRPr="0072723A">
        <w:rPr>
          <w:rFonts w:cstheme="minorHAnsi"/>
          <w:color w:val="000000" w:themeColor="text1"/>
        </w:rPr>
        <w:t xml:space="preserve"> con un crecimiento interanual de 13%, consistente con la recuperación económica experimentada en 2022 frente al periodo 2020-2021, en el que hubo condiciones económicas adversas consecuencia de la emergencia sanitaria de la pandemia por la COVID-19, que afectaron a nivel nacional e internacional. La dinámica del sector es significativa, la aceleración </w:t>
      </w:r>
      <w:bookmarkStart w:id="1" w:name="_Hlk126824373"/>
      <w:r w:rsidRPr="0072723A">
        <w:rPr>
          <w:rFonts w:cstheme="minorHAnsi"/>
          <w:color w:val="000000" w:themeColor="text1"/>
        </w:rPr>
        <w:t xml:space="preserve">en el crecimiento del sector fue para este año de 6,1% </w:t>
      </w:r>
      <w:bookmarkEnd w:id="1"/>
      <w:r w:rsidRPr="0072723A">
        <w:rPr>
          <w:rFonts w:cstheme="minorHAnsi"/>
          <w:color w:val="000000" w:themeColor="text1"/>
        </w:rPr>
        <w:t>mientras que la del PIB se estima en 1,6% para el periodo, según proyecciones del Banco Central de Costa Rica (BCCR)</w:t>
      </w:r>
      <w:r w:rsidRPr="0072723A">
        <w:rPr>
          <w:rStyle w:val="Refdenotaalpie"/>
          <w:rFonts w:cstheme="minorHAnsi"/>
          <w:color w:val="000000" w:themeColor="text1"/>
        </w:rPr>
        <w:footnoteReference w:id="1"/>
      </w:r>
      <w:r w:rsidRPr="0072723A">
        <w:rPr>
          <w:rFonts w:cstheme="minorHAnsi"/>
          <w:color w:val="000000" w:themeColor="text1"/>
        </w:rPr>
        <w:t>.</w:t>
      </w:r>
    </w:p>
    <w:p w14:paraId="486E731A" w14:textId="77777777" w:rsidR="0099407F" w:rsidRPr="00FB7E5E" w:rsidRDefault="0099407F" w:rsidP="0099407F">
      <w:pPr>
        <w:pStyle w:val="Prrafodelista"/>
        <w:spacing w:after="0" w:line="240" w:lineRule="auto"/>
        <w:ind w:left="0"/>
        <w:jc w:val="both"/>
        <w:rPr>
          <w:rFonts w:cstheme="minorHAnsi"/>
          <w:sz w:val="24"/>
          <w:szCs w:val="24"/>
          <w:highlight w:val="yellow"/>
        </w:rPr>
      </w:pPr>
    </w:p>
    <w:p w14:paraId="50428E73" w14:textId="77777777" w:rsidR="0099407F" w:rsidRPr="00FB7E5E" w:rsidRDefault="0099407F" w:rsidP="0099407F">
      <w:pPr>
        <w:pStyle w:val="Prrafodelista"/>
        <w:spacing w:after="0" w:line="240" w:lineRule="auto"/>
        <w:ind w:left="360"/>
        <w:rPr>
          <w:rFonts w:cstheme="minorHAnsi"/>
          <w:b/>
          <w:bCs/>
          <w:sz w:val="24"/>
          <w:szCs w:val="24"/>
        </w:rPr>
      </w:pPr>
      <w:r w:rsidRPr="00FB7E5E">
        <w:rPr>
          <w:rFonts w:cstheme="minorHAnsi"/>
          <w:b/>
          <w:bCs/>
          <w:sz w:val="24"/>
          <w:szCs w:val="24"/>
        </w:rPr>
        <w:t>Gráfico 1</w:t>
      </w:r>
    </w:p>
    <w:p w14:paraId="245FC219" w14:textId="77777777" w:rsidR="0099407F" w:rsidRPr="00FB7E5E" w:rsidRDefault="0099407F" w:rsidP="0099407F">
      <w:pPr>
        <w:pStyle w:val="Prrafodelista"/>
        <w:spacing w:after="0" w:line="240" w:lineRule="auto"/>
        <w:ind w:left="360"/>
        <w:rPr>
          <w:rFonts w:cstheme="minorHAnsi"/>
          <w:b/>
          <w:bCs/>
          <w:sz w:val="24"/>
          <w:szCs w:val="24"/>
        </w:rPr>
      </w:pPr>
      <w:r w:rsidRPr="00FB7E5E">
        <w:rPr>
          <w:rFonts w:cstheme="minorHAnsi"/>
          <w:b/>
          <w:bCs/>
          <w:sz w:val="24"/>
          <w:szCs w:val="24"/>
        </w:rPr>
        <w:t xml:space="preserve">Monto de primas totales según categoría de seguros, 2021-2022 </w:t>
      </w:r>
    </w:p>
    <w:p w14:paraId="08A5F747" w14:textId="77777777" w:rsidR="0099407F" w:rsidRPr="00FB7E5E" w:rsidRDefault="0099407F" w:rsidP="0099407F">
      <w:pPr>
        <w:pStyle w:val="Prrafodelista"/>
        <w:spacing w:after="0" w:line="240" w:lineRule="auto"/>
        <w:ind w:left="360"/>
        <w:rPr>
          <w:rFonts w:cstheme="minorHAnsi"/>
          <w:sz w:val="20"/>
          <w:szCs w:val="20"/>
        </w:rPr>
      </w:pPr>
      <w:r w:rsidRPr="00865C73">
        <w:rPr>
          <w:rFonts w:cstheme="minorHAnsi"/>
          <w:sz w:val="20"/>
          <w:szCs w:val="20"/>
        </w:rPr>
        <w:t>(miles de</w:t>
      </w:r>
      <w:r w:rsidRPr="00FB7E5E">
        <w:rPr>
          <w:rFonts w:cstheme="minorHAnsi"/>
          <w:sz w:val="20"/>
          <w:szCs w:val="20"/>
        </w:rPr>
        <w:t xml:space="preserve"> millones de colones corrientes)</w:t>
      </w:r>
    </w:p>
    <w:p w14:paraId="620C0920" w14:textId="77777777" w:rsidR="0099407F" w:rsidRPr="00FB7E5E" w:rsidRDefault="0099407F" w:rsidP="0099407F">
      <w:pPr>
        <w:pStyle w:val="Prrafodelista"/>
        <w:tabs>
          <w:tab w:val="left" w:pos="5955"/>
        </w:tabs>
        <w:spacing w:after="0" w:line="240" w:lineRule="auto"/>
        <w:ind w:left="360"/>
        <w:rPr>
          <w:rFonts w:cstheme="minorHAnsi"/>
          <w:sz w:val="24"/>
          <w:szCs w:val="24"/>
          <w:highlight w:val="yellow"/>
        </w:rPr>
      </w:pPr>
      <w:r w:rsidRPr="00FB7E5E">
        <w:rPr>
          <w:rFonts w:cstheme="minorHAnsi"/>
          <w:noProof/>
        </w:rPr>
        <w:drawing>
          <wp:inline distT="0" distB="0" distL="0" distR="0" wp14:anchorId="0D3C2FA3" wp14:editId="58FC3F4E">
            <wp:extent cx="6224184" cy="3286664"/>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50" r="4572"/>
                    <a:stretch/>
                  </pic:blipFill>
                  <pic:spPr bwMode="auto">
                    <a:xfrm>
                      <a:off x="0" y="0"/>
                      <a:ext cx="6288857" cy="3320815"/>
                    </a:xfrm>
                    <a:prstGeom prst="rect">
                      <a:avLst/>
                    </a:prstGeom>
                    <a:ln>
                      <a:noFill/>
                    </a:ln>
                    <a:extLst>
                      <a:ext uri="{53640926-AAD7-44D8-BBD7-CCE9431645EC}">
                        <a14:shadowObscured xmlns:a14="http://schemas.microsoft.com/office/drawing/2010/main"/>
                      </a:ext>
                    </a:extLst>
                  </pic:spPr>
                </pic:pic>
              </a:graphicData>
            </a:graphic>
          </wp:inline>
        </w:drawing>
      </w:r>
    </w:p>
    <w:p w14:paraId="02C70285"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27B85F64" w14:textId="77777777" w:rsidR="0099407F" w:rsidRPr="00FB7E5E" w:rsidRDefault="0099407F" w:rsidP="0099407F">
      <w:pPr>
        <w:spacing w:after="0" w:line="240" w:lineRule="auto"/>
        <w:rPr>
          <w:rFonts w:cstheme="minorHAnsi"/>
          <w:b/>
          <w:sz w:val="24"/>
          <w:szCs w:val="24"/>
          <w:highlight w:val="yellow"/>
        </w:rPr>
      </w:pPr>
    </w:p>
    <w:p w14:paraId="67304636" w14:textId="77777777" w:rsidR="0099407F" w:rsidRPr="00FB7E5E" w:rsidRDefault="0099407F" w:rsidP="0099407F">
      <w:pPr>
        <w:spacing w:after="0" w:line="240" w:lineRule="auto"/>
        <w:rPr>
          <w:rFonts w:cstheme="minorHAnsi"/>
          <w:b/>
          <w:sz w:val="24"/>
          <w:szCs w:val="24"/>
          <w:highlight w:val="yellow"/>
        </w:rPr>
      </w:pPr>
    </w:p>
    <w:p w14:paraId="42027004" w14:textId="77777777" w:rsidR="0099407F" w:rsidRPr="00FB7E5E" w:rsidRDefault="0099407F" w:rsidP="0099407F">
      <w:pPr>
        <w:spacing w:after="0" w:line="240" w:lineRule="auto"/>
        <w:rPr>
          <w:rFonts w:cstheme="minorHAnsi"/>
          <w:b/>
          <w:sz w:val="24"/>
          <w:szCs w:val="24"/>
          <w:highlight w:val="yellow"/>
        </w:rPr>
      </w:pPr>
    </w:p>
    <w:p w14:paraId="72902098" w14:textId="77777777" w:rsidR="0099407F" w:rsidRPr="00FB7E5E" w:rsidRDefault="0099407F" w:rsidP="0099407F">
      <w:pPr>
        <w:rPr>
          <w:rFonts w:cstheme="minorHAnsi"/>
          <w:b/>
          <w:sz w:val="24"/>
          <w:szCs w:val="24"/>
        </w:rPr>
      </w:pPr>
      <w:r w:rsidRPr="00FB7E5E">
        <w:rPr>
          <w:rFonts w:cstheme="minorHAnsi"/>
          <w:b/>
          <w:sz w:val="24"/>
          <w:szCs w:val="24"/>
        </w:rPr>
        <w:br w:type="page"/>
      </w:r>
    </w:p>
    <w:p w14:paraId="1E3F4A93"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Cuadro 1</w:t>
      </w:r>
    </w:p>
    <w:p w14:paraId="7D1CBDD8"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Variación de las primas según categoría, IPC, IMAE y tipo de cambio, 2021-2022</w:t>
      </w:r>
    </w:p>
    <w:p w14:paraId="52ABFC82"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(porcentajes y millones de colones corrientes)</w:t>
      </w:r>
    </w:p>
    <w:p w14:paraId="2B02D694" w14:textId="77777777" w:rsidR="0099407F" w:rsidRPr="00FB7E5E" w:rsidRDefault="0099407F" w:rsidP="0099407F">
      <w:pPr>
        <w:spacing w:after="0" w:line="240" w:lineRule="auto"/>
        <w:rPr>
          <w:rFonts w:cstheme="minorHAnsi"/>
          <w:b/>
          <w:sz w:val="24"/>
          <w:szCs w:val="24"/>
        </w:rPr>
      </w:pPr>
      <w:r w:rsidRPr="00FB7E5E">
        <w:rPr>
          <w:rFonts w:cstheme="minorHAnsi"/>
          <w:noProof/>
        </w:rPr>
        <mc:AlternateContent>
          <mc:Choice Requires="wps">
            <w:drawing>
              <wp:anchor distT="0" distB="0" distL="114300" distR="114300" simplePos="0" relativeHeight="251661312" behindDoc="0" locked="0" layoutInCell="1" allowOverlap="1" wp14:anchorId="60156AED" wp14:editId="30B3ECE7">
                <wp:simplePos x="0" y="0"/>
                <wp:positionH relativeFrom="column">
                  <wp:posOffset>52705</wp:posOffset>
                </wp:positionH>
                <wp:positionV relativeFrom="paragraph">
                  <wp:posOffset>462915</wp:posOffset>
                </wp:positionV>
                <wp:extent cx="197485" cy="158750"/>
                <wp:effectExtent l="0" t="0" r="12065" b="12700"/>
                <wp:wrapNone/>
                <wp:docPr id="4" name="Elipse 4"/>
                <wp:cNvGraphicFramePr/>
                <a:graphic xmlns:a="http://schemas.openxmlformats.org/drawingml/2006/main">
                  <a:graphicData uri="http://schemas.microsoft.com/office/word/2010/wordprocessingShape">
                    <wps:wsp>
                      <wps:cNvSpPr/>
                      <wps:spPr>
                        <a:xfrm>
                          <a:off x="0" y="0"/>
                          <a:ext cx="197485" cy="158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510D8" id="Elipse 4" o:spid="_x0000_s1026" style="position:absolute;margin-left:4.15pt;margin-top:36.45pt;width:15.55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" fillcolor="white [3212]" strokecolor="white [3212]" strokeweight="1pt">
                <v:stroke joinstyle="miter"/>
              </v:oval>
            </w:pict>
          </mc:Fallback>
        </mc:AlternateContent>
      </w:r>
      <w:r w:rsidRPr="00FB7E5E">
        <w:rPr>
          <w:rFonts w:cstheme="minorHAnsi"/>
          <w:noProof/>
        </w:rPr>
        <mc:AlternateContent>
          <mc:Choice Requires="wps">
            <w:drawing>
              <wp:anchor distT="0" distB="0" distL="114300" distR="114300" simplePos="0" relativeHeight="251662336" behindDoc="0" locked="0" layoutInCell="1" allowOverlap="1" wp14:anchorId="0194157D" wp14:editId="29091F66">
                <wp:simplePos x="0" y="0"/>
                <wp:positionH relativeFrom="column">
                  <wp:posOffset>167005</wp:posOffset>
                </wp:positionH>
                <wp:positionV relativeFrom="paragraph">
                  <wp:posOffset>742315</wp:posOffset>
                </wp:positionV>
                <wp:extent cx="157480" cy="163195"/>
                <wp:effectExtent l="0" t="0" r="13970" b="27305"/>
                <wp:wrapNone/>
                <wp:docPr id="21" name="Elipse 21"/>
                <wp:cNvGraphicFramePr/>
                <a:graphic xmlns:a="http://schemas.openxmlformats.org/drawingml/2006/main">
                  <a:graphicData uri="http://schemas.microsoft.com/office/word/2010/wordprocessingShape">
                    <wps:wsp>
                      <wps:cNvSpPr/>
                      <wps:spPr>
                        <a:xfrm>
                          <a:off x="0" y="0"/>
                          <a:ext cx="157480" cy="16319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ED114" id="Elipse 21" o:spid="_x0000_s1026" style="position:absolute;margin-left:13.15pt;margin-top:58.45pt;width:12.4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" fillcolor="white [3212]" strokecolor="white [3212]" strokeweight="1pt">
                <v:stroke joinstyle="miter"/>
              </v:oval>
            </w:pict>
          </mc:Fallback>
        </mc:AlternateContent>
      </w:r>
      <w:r w:rsidRPr="00FB7E5E">
        <w:rPr>
          <w:rFonts w:cstheme="minorHAnsi"/>
          <w:noProof/>
        </w:rPr>
        <mc:AlternateContent>
          <mc:Choice Requires="wps">
            <w:drawing>
              <wp:anchor distT="0" distB="0" distL="114300" distR="114300" simplePos="0" relativeHeight="251668480" behindDoc="0" locked="0" layoutInCell="1" allowOverlap="1" wp14:anchorId="5E064E5E" wp14:editId="32F947F9">
                <wp:simplePos x="0" y="0"/>
                <wp:positionH relativeFrom="column">
                  <wp:posOffset>128905</wp:posOffset>
                </wp:positionH>
                <wp:positionV relativeFrom="paragraph">
                  <wp:posOffset>983615</wp:posOffset>
                </wp:positionV>
                <wp:extent cx="178942" cy="162045"/>
                <wp:effectExtent l="0" t="0" r="12065" b="28575"/>
                <wp:wrapNone/>
                <wp:docPr id="39" name="Rectángulo 39"/>
                <wp:cNvGraphicFramePr/>
                <a:graphic xmlns:a="http://schemas.openxmlformats.org/drawingml/2006/main">
                  <a:graphicData uri="http://schemas.microsoft.com/office/word/2010/wordprocessingShape">
                    <wps:wsp>
                      <wps:cNvSpPr/>
                      <wps:spPr>
                        <a:xfrm>
                          <a:off x="0" y="0"/>
                          <a:ext cx="178942" cy="162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08047" id="Rectángulo 39" o:spid="_x0000_s1026" style="position:absolute;margin-left:10.15pt;margin-top:77.45pt;width:14.1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" fillcolor="white [3212]" strokecolor="white [3212]" strokeweight="1pt"/>
            </w:pict>
          </mc:Fallback>
        </mc:AlternateContent>
      </w:r>
      <w:r w:rsidRPr="00FB7E5E">
        <w:rPr>
          <w:rFonts w:cstheme="minorHAnsi"/>
          <w:noProof/>
        </w:rPr>
        <mc:AlternateContent>
          <mc:Choice Requires="wps">
            <w:drawing>
              <wp:anchor distT="0" distB="0" distL="114300" distR="114300" simplePos="0" relativeHeight="251663360" behindDoc="0" locked="0" layoutInCell="1" allowOverlap="1" wp14:anchorId="204AF91F" wp14:editId="7743CFAF">
                <wp:simplePos x="0" y="0"/>
                <wp:positionH relativeFrom="column">
                  <wp:posOffset>71120</wp:posOffset>
                </wp:positionH>
                <wp:positionV relativeFrom="paragraph">
                  <wp:posOffset>2337435</wp:posOffset>
                </wp:positionV>
                <wp:extent cx="178942" cy="162045"/>
                <wp:effectExtent l="0" t="0" r="12065" b="28575"/>
                <wp:wrapNone/>
                <wp:docPr id="8" name="Rectángulo 8"/>
                <wp:cNvGraphicFramePr/>
                <a:graphic xmlns:a="http://schemas.openxmlformats.org/drawingml/2006/main">
                  <a:graphicData uri="http://schemas.microsoft.com/office/word/2010/wordprocessingShape">
                    <wps:wsp>
                      <wps:cNvSpPr/>
                      <wps:spPr>
                        <a:xfrm>
                          <a:off x="0" y="0"/>
                          <a:ext cx="178942" cy="162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BCC48" id="Rectángulo 8" o:spid="_x0000_s1026" style="position:absolute;margin-left:5.6pt;margin-top:184.05pt;width:14.1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" fillcolor="white [3212]" strokecolor="white [3212]" strokeweight="1pt"/>
            </w:pict>
          </mc:Fallback>
        </mc:AlternateContent>
      </w:r>
      <w:r w:rsidRPr="00FB7E5E">
        <w:rPr>
          <w:rFonts w:cstheme="minorHAnsi"/>
          <w:noProof/>
        </w:rPr>
        <mc:AlternateContent>
          <mc:Choice Requires="wps">
            <w:drawing>
              <wp:anchor distT="0" distB="0" distL="114300" distR="114300" simplePos="0" relativeHeight="251667456" behindDoc="0" locked="0" layoutInCell="1" allowOverlap="1" wp14:anchorId="7F8359F7" wp14:editId="6D1F606C">
                <wp:simplePos x="0" y="0"/>
                <wp:positionH relativeFrom="column">
                  <wp:posOffset>59055</wp:posOffset>
                </wp:positionH>
                <wp:positionV relativeFrom="paragraph">
                  <wp:posOffset>2075815</wp:posOffset>
                </wp:positionV>
                <wp:extent cx="178942" cy="162045"/>
                <wp:effectExtent l="0" t="0" r="12065" b="28575"/>
                <wp:wrapNone/>
                <wp:docPr id="9" name="Rectángulo 9"/>
                <wp:cNvGraphicFramePr/>
                <a:graphic xmlns:a="http://schemas.openxmlformats.org/drawingml/2006/main">
                  <a:graphicData uri="http://schemas.microsoft.com/office/word/2010/wordprocessingShape">
                    <wps:wsp>
                      <wps:cNvSpPr/>
                      <wps:spPr>
                        <a:xfrm>
                          <a:off x="0" y="0"/>
                          <a:ext cx="178942" cy="162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1DB81" id="Rectángulo 9" o:spid="_x0000_s1026" style="position:absolute;margin-left:4.65pt;margin-top:163.45pt;width:14.1pt;height:1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" fillcolor="white [3212]" strokecolor="white [3212]" strokeweight="1pt"/>
            </w:pict>
          </mc:Fallback>
        </mc:AlternateContent>
      </w:r>
      <w:r w:rsidRPr="00FB7E5E">
        <w:rPr>
          <w:rFonts w:cstheme="minorHAnsi"/>
          <w:noProof/>
        </w:rPr>
        <mc:AlternateContent>
          <mc:Choice Requires="wps">
            <w:drawing>
              <wp:anchor distT="0" distB="0" distL="114300" distR="114300" simplePos="0" relativeHeight="251664384" behindDoc="0" locked="0" layoutInCell="1" allowOverlap="1" wp14:anchorId="67C30DA3" wp14:editId="40EF108A">
                <wp:simplePos x="0" y="0"/>
                <wp:positionH relativeFrom="column">
                  <wp:posOffset>32385</wp:posOffset>
                </wp:positionH>
                <wp:positionV relativeFrom="paragraph">
                  <wp:posOffset>1814830</wp:posOffset>
                </wp:positionV>
                <wp:extent cx="178942" cy="162045"/>
                <wp:effectExtent l="0" t="0" r="12065" b="28575"/>
                <wp:wrapNone/>
                <wp:docPr id="26" name="Rectángulo 26"/>
                <wp:cNvGraphicFramePr/>
                <a:graphic xmlns:a="http://schemas.openxmlformats.org/drawingml/2006/main">
                  <a:graphicData uri="http://schemas.microsoft.com/office/word/2010/wordprocessingShape">
                    <wps:wsp>
                      <wps:cNvSpPr/>
                      <wps:spPr>
                        <a:xfrm>
                          <a:off x="0" y="0"/>
                          <a:ext cx="178942" cy="162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DB5DF" id="Rectángulo 26" o:spid="_x0000_s1026" style="position:absolute;margin-left:2.55pt;margin-top:142.9pt;width:14.1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" fillcolor="white [3212]" strokecolor="white [3212]" strokeweight="1pt"/>
            </w:pict>
          </mc:Fallback>
        </mc:AlternateContent>
      </w:r>
      <w:r w:rsidRPr="00FB7E5E">
        <w:rPr>
          <w:rFonts w:cstheme="minorHAnsi"/>
          <w:noProof/>
        </w:rPr>
        <w:drawing>
          <wp:inline distT="0" distB="0" distL="0" distR="0" wp14:anchorId="2E5A4E4F" wp14:editId="597AEDD0">
            <wp:extent cx="5972810" cy="255778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2557780"/>
                    </a:xfrm>
                    <a:prstGeom prst="rect">
                      <a:avLst/>
                    </a:prstGeom>
                  </pic:spPr>
                </pic:pic>
              </a:graphicData>
            </a:graphic>
          </wp:inline>
        </w:drawing>
      </w:r>
    </w:p>
    <w:p w14:paraId="26EEACF5" w14:textId="77777777" w:rsidR="0099407F" w:rsidRPr="00FB7E5E" w:rsidRDefault="0099407F" w:rsidP="0099407F">
      <w:pPr>
        <w:spacing w:line="240" w:lineRule="auto"/>
        <w:jc w:val="both"/>
        <w:rPr>
          <w:rFonts w:cstheme="minorHAnsi"/>
          <w:color w:val="7F7F7F" w:themeColor="background1" w:themeShade="7F"/>
          <w:sz w:val="16"/>
          <w:szCs w:val="16"/>
        </w:rPr>
      </w:pPr>
      <w:r w:rsidRPr="00FB7E5E">
        <w:rPr>
          <w:rFonts w:cstheme="minorHAnsi"/>
          <w:color w:val="7F7F7F" w:themeColor="background1" w:themeShade="7F"/>
          <w:sz w:val="16"/>
          <w:szCs w:val="16"/>
        </w:rPr>
        <w:t>Fuente: Superintendencia General de Seguros (Sugese), Instituto Nacional de Estadística y Censos (INEC) y Banco Central de Costa Rica (BCCR)</w:t>
      </w:r>
    </w:p>
    <w:p w14:paraId="2D6DE788" w14:textId="77777777" w:rsidR="0099407F" w:rsidRPr="00FB7E5E" w:rsidRDefault="0099407F" w:rsidP="0099407F">
      <w:pPr>
        <w:spacing w:after="0" w:line="240" w:lineRule="auto"/>
        <w:rPr>
          <w:rFonts w:cstheme="minorHAnsi"/>
          <w:b/>
          <w:sz w:val="24"/>
          <w:szCs w:val="24"/>
        </w:rPr>
      </w:pPr>
    </w:p>
    <w:p w14:paraId="6C580C8B"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2</w:t>
      </w:r>
    </w:p>
    <w:p w14:paraId="08E61CEC"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Composición de los ingresos por primas totales, según categoría de seguros, 2020-2022</w:t>
      </w:r>
    </w:p>
    <w:p w14:paraId="7EF036EA"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(porcentajes)</w:t>
      </w:r>
    </w:p>
    <w:p w14:paraId="60779D27"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noProof/>
        </w:rPr>
        <w:drawing>
          <wp:inline distT="0" distB="0" distL="0" distR="0" wp14:anchorId="5C02187B" wp14:editId="5772114E">
            <wp:extent cx="6202393" cy="3148290"/>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6" r="1770"/>
                    <a:stretch/>
                  </pic:blipFill>
                  <pic:spPr bwMode="auto">
                    <a:xfrm>
                      <a:off x="0" y="0"/>
                      <a:ext cx="6209030" cy="3151659"/>
                    </a:xfrm>
                    <a:prstGeom prst="rect">
                      <a:avLst/>
                    </a:prstGeom>
                    <a:ln>
                      <a:noFill/>
                    </a:ln>
                    <a:extLst>
                      <a:ext uri="{53640926-AAD7-44D8-BBD7-CCE9431645EC}">
                        <a14:shadowObscured xmlns:a14="http://schemas.microsoft.com/office/drawing/2010/main"/>
                      </a:ext>
                    </a:extLst>
                  </pic:spPr>
                </pic:pic>
              </a:graphicData>
            </a:graphic>
          </wp:inline>
        </w:drawing>
      </w:r>
      <w:r w:rsidRPr="00FB7E5E">
        <w:rPr>
          <w:rFonts w:cstheme="minorHAnsi"/>
          <w:color w:val="595959" w:themeColor="text1" w:themeTint="A6"/>
          <w:sz w:val="20"/>
          <w:szCs w:val="20"/>
        </w:rPr>
        <w:t>Fuente: Superintendencia General de Seguros (Sugese)</w:t>
      </w:r>
    </w:p>
    <w:p w14:paraId="67D4BB9B" w14:textId="77777777" w:rsidR="0099407F" w:rsidRPr="00FB7E5E" w:rsidRDefault="0099407F" w:rsidP="0099407F">
      <w:pPr>
        <w:spacing w:after="0" w:line="240" w:lineRule="auto"/>
        <w:jc w:val="center"/>
        <w:rPr>
          <w:rFonts w:cstheme="minorHAnsi"/>
          <w:b/>
          <w:noProof/>
          <w:highlight w:val="yellow"/>
          <w:lang w:eastAsia="es-CR"/>
        </w:rPr>
      </w:pPr>
    </w:p>
    <w:p w14:paraId="672E0C5D" w14:textId="77777777" w:rsidR="0099407F" w:rsidRPr="0072723A" w:rsidRDefault="0099407F" w:rsidP="0099407F">
      <w:pPr>
        <w:spacing w:after="0" w:line="240" w:lineRule="auto"/>
        <w:ind w:right="-20"/>
        <w:jc w:val="both"/>
        <w:rPr>
          <w:rFonts w:cstheme="minorHAnsi"/>
        </w:rPr>
      </w:pPr>
      <w:r w:rsidRPr="0072723A">
        <w:rPr>
          <w:rFonts w:cstheme="minorHAnsi"/>
        </w:rPr>
        <w:lastRenderedPageBreak/>
        <w:t xml:space="preserve">Los seguros obligatorios presentaron un crecimiento de 13,6%, explicado por el incremento de </w:t>
      </w:r>
      <w:r w:rsidRPr="0072723A">
        <w:rPr>
          <w:rFonts w:cstheme="minorHAnsi"/>
          <w:color w:val="000000" w:themeColor="text1"/>
        </w:rPr>
        <w:t>₡</w:t>
      </w:r>
      <w:r w:rsidRPr="0072723A">
        <w:rPr>
          <w:rFonts w:cstheme="minorHAnsi"/>
          <w:color w:val="000000" w:themeColor="text1"/>
          <w:lang w:val="es-ES"/>
        </w:rPr>
        <w:t> </w:t>
      </w:r>
      <w:r w:rsidRPr="0072723A">
        <w:rPr>
          <w:rFonts w:cstheme="minorHAnsi"/>
          <w:color w:val="000000" w:themeColor="text1"/>
        </w:rPr>
        <w:t>24,1</w:t>
      </w:r>
      <w:r w:rsidRPr="0072723A">
        <w:rPr>
          <w:rFonts w:cstheme="minorHAnsi"/>
        </w:rPr>
        <w:t xml:space="preserve"> mil millones en el seguro de Riesgos del Trabajo (RT) y el aumento de </w:t>
      </w:r>
      <w:r w:rsidRPr="0072723A">
        <w:rPr>
          <w:rFonts w:cstheme="minorHAnsi"/>
          <w:color w:val="000000" w:themeColor="text1"/>
        </w:rPr>
        <w:t>₡</w:t>
      </w:r>
      <w:r w:rsidRPr="0072723A">
        <w:rPr>
          <w:rFonts w:cstheme="minorHAnsi"/>
          <w:color w:val="000000" w:themeColor="text1"/>
          <w:lang w:val="es-ES"/>
        </w:rPr>
        <w:t>3,7</w:t>
      </w:r>
      <w:r w:rsidRPr="0072723A">
        <w:rPr>
          <w:rFonts w:cstheme="minorHAnsi"/>
        </w:rPr>
        <w:t xml:space="preserve"> mil millones en las primas del seguro Obligatorio de Vehículos Automotores (SOA), claros indicadores de la recuperación económica experimentada en el país para el año 2022. En los seguros voluntarios se observó un cambio positivo de 12,8%, resultado del crecimiento en los seguros personales de 14,0% y de 11,8% en los seguros generales.</w:t>
      </w:r>
      <w:r w:rsidRPr="0072723A">
        <w:rPr>
          <w:rFonts w:cstheme="minorHAnsi"/>
          <w:noProof/>
        </w:rPr>
        <w:t xml:space="preserve"> </w:t>
      </w:r>
    </w:p>
    <w:p w14:paraId="6C9D2A91" w14:textId="77777777" w:rsidR="0099407F" w:rsidRPr="0072723A" w:rsidRDefault="0099407F" w:rsidP="0099407F">
      <w:pPr>
        <w:spacing w:after="0" w:line="240" w:lineRule="auto"/>
        <w:jc w:val="both"/>
        <w:rPr>
          <w:rFonts w:cstheme="minorHAnsi"/>
          <w:highlight w:val="yellow"/>
        </w:rPr>
      </w:pPr>
    </w:p>
    <w:p w14:paraId="6476F442" w14:textId="4F6849C7" w:rsidR="0099407F" w:rsidRPr="0072723A" w:rsidRDefault="0099407F" w:rsidP="00982550">
      <w:pPr>
        <w:spacing w:after="0" w:line="240" w:lineRule="auto"/>
        <w:jc w:val="both"/>
        <w:rPr>
          <w:rFonts w:cstheme="minorHAnsi"/>
          <w:color w:val="000000" w:themeColor="text1"/>
          <w:lang w:val="es-ES"/>
        </w:rPr>
      </w:pPr>
      <w:r w:rsidRPr="0072723A">
        <w:rPr>
          <w:rFonts w:cstheme="minorHAnsi"/>
          <w:color w:val="000000" w:themeColor="text1"/>
        </w:rPr>
        <w:t>La penetración, medida como la proporción de los ingresos por primas brutas al PIB, mostró un aumento de 0,34 p.p. entre 2021 y 2022; mientras que la densidad, aproximada con la prima per cápita, pasó de ₡</w:t>
      </w:r>
      <w:r w:rsidRPr="0072723A">
        <w:rPr>
          <w:rFonts w:cstheme="minorHAnsi"/>
          <w:color w:val="000000" w:themeColor="text1"/>
          <w:lang w:val="es-ES"/>
        </w:rPr>
        <w:t xml:space="preserve"> 174 357 </w:t>
      </w:r>
      <w:r w:rsidRPr="0072723A">
        <w:rPr>
          <w:rFonts w:cstheme="minorHAnsi"/>
          <w:color w:val="000000" w:themeColor="text1"/>
        </w:rPr>
        <w:t>el año anterior a ₡</w:t>
      </w:r>
      <w:r w:rsidRPr="0072723A">
        <w:rPr>
          <w:rFonts w:cstheme="minorHAnsi"/>
          <w:color w:val="000000" w:themeColor="text1"/>
          <w:lang w:val="es-ES"/>
        </w:rPr>
        <w:t xml:space="preserve"> 195 220 para el cierre de 2022. El aumento de la prima per cápita se observó tanto en los seguros voluntarios como en los obligatorios, aunque el </w:t>
      </w:r>
      <w:r w:rsidRPr="00472A7B">
        <w:rPr>
          <w:rFonts w:cstheme="minorHAnsi"/>
          <w:color w:val="000000" w:themeColor="text1"/>
          <w:lang w:val="es-ES"/>
        </w:rPr>
        <w:t>incremento en la de voluntarios</w:t>
      </w:r>
      <w:r w:rsidRPr="0072723A">
        <w:rPr>
          <w:rFonts w:cstheme="minorHAnsi"/>
          <w:color w:val="000000" w:themeColor="text1"/>
          <w:lang w:val="es-ES"/>
        </w:rPr>
        <w:t xml:space="preserve"> </w:t>
      </w:r>
      <w:r w:rsidR="00472A7B">
        <w:rPr>
          <w:rFonts w:cstheme="minorHAnsi"/>
          <w:color w:val="000000" w:themeColor="text1"/>
          <w:lang w:val="es-ES"/>
        </w:rPr>
        <w:t xml:space="preserve">fue </w:t>
      </w:r>
      <w:r w:rsidRPr="0072723A">
        <w:rPr>
          <w:rFonts w:cstheme="minorHAnsi"/>
          <w:color w:val="000000" w:themeColor="text1"/>
          <w:lang w:val="es-ES"/>
        </w:rPr>
        <w:t xml:space="preserve">mayor, casi </w:t>
      </w:r>
      <w:r w:rsidRPr="0072723A">
        <w:rPr>
          <w:rFonts w:cstheme="minorHAnsi"/>
          <w:color w:val="000000" w:themeColor="text1"/>
        </w:rPr>
        <w:t>₡</w:t>
      </w:r>
      <w:r w:rsidRPr="0072723A">
        <w:rPr>
          <w:rFonts w:cstheme="minorHAnsi"/>
          <w:color w:val="000000" w:themeColor="text1"/>
          <w:lang w:val="es-ES"/>
        </w:rPr>
        <w:t> 16 000 en 2022, el mayor crecimiento observado en el último lustro.</w:t>
      </w:r>
    </w:p>
    <w:p w14:paraId="42858448" w14:textId="77777777" w:rsidR="0099407F" w:rsidRPr="00FB7E5E" w:rsidRDefault="0099407F" w:rsidP="0099407F">
      <w:pPr>
        <w:spacing w:after="0" w:line="240" w:lineRule="auto"/>
        <w:jc w:val="both"/>
        <w:rPr>
          <w:rFonts w:cstheme="minorHAnsi"/>
          <w:sz w:val="24"/>
          <w:szCs w:val="24"/>
          <w:highlight w:val="yellow"/>
          <w:lang w:val="es-ES"/>
        </w:rPr>
      </w:pPr>
    </w:p>
    <w:p w14:paraId="1730A51C"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3</w:t>
      </w:r>
    </w:p>
    <w:p w14:paraId="403AECAD"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Prima per cápita y primas directas como porcentaje del PIB, por categoría 2021-2022 </w:t>
      </w:r>
    </w:p>
    <w:p w14:paraId="2F9689F5"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(colones corrientes y porcentajes)</w:t>
      </w:r>
    </w:p>
    <w:tbl>
      <w:tblPr>
        <w:tblStyle w:val="Tablaconcuadrcula"/>
        <w:tblW w:w="11063" w:type="dxa"/>
        <w:tblInd w:w="-83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690"/>
        <w:gridCol w:w="5373"/>
      </w:tblGrid>
      <w:tr w:rsidR="0099407F" w:rsidRPr="00FB7E5E" w14:paraId="545A8780" w14:textId="77777777" w:rsidTr="00D07F28">
        <w:trPr>
          <w:trHeight w:val="3222"/>
        </w:trPr>
        <w:tc>
          <w:tcPr>
            <w:tcW w:w="5690" w:type="dxa"/>
          </w:tcPr>
          <w:p w14:paraId="3D373F11" w14:textId="77777777" w:rsidR="0099407F" w:rsidRPr="00FB7E5E" w:rsidRDefault="0099407F" w:rsidP="00D07F28">
            <w:pPr>
              <w:rPr>
                <w:rFonts w:asciiTheme="minorHAnsi" w:hAnsiTheme="minorHAnsi" w:cstheme="minorHAnsi"/>
                <w:b/>
                <w:color w:val="595959" w:themeColor="text1" w:themeTint="A6"/>
              </w:rPr>
            </w:pPr>
          </w:p>
          <w:p w14:paraId="0B7B3876" w14:textId="77777777" w:rsidR="0099407F" w:rsidRPr="00FB7E5E" w:rsidRDefault="0099407F" w:rsidP="00D07F28">
            <w:pPr>
              <w:jc w:val="center"/>
              <w:rPr>
                <w:rFonts w:asciiTheme="minorHAnsi" w:hAnsiTheme="minorHAnsi" w:cstheme="minorHAnsi"/>
                <w:b/>
                <w:smallCaps/>
                <w:color w:val="44546A" w:themeColor="text2"/>
              </w:rPr>
            </w:pPr>
            <w:r w:rsidRPr="00FB7E5E">
              <w:rPr>
                <w:rFonts w:cstheme="minorHAnsi"/>
                <w:b/>
                <w:smallCaps/>
                <w:noProof/>
                <w:color w:val="44546A" w:themeColor="text2"/>
              </w:rPr>
              <w:drawing>
                <wp:inline distT="0" distB="0" distL="0" distR="0" wp14:anchorId="4E0EC962" wp14:editId="28508B98">
                  <wp:extent cx="3521288" cy="2234241"/>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740" t="2470" r="6276" b="3257"/>
                          <a:stretch/>
                        </pic:blipFill>
                        <pic:spPr bwMode="auto">
                          <a:xfrm>
                            <a:off x="0" y="0"/>
                            <a:ext cx="3566626" cy="2263008"/>
                          </a:xfrm>
                          <a:prstGeom prst="rect">
                            <a:avLst/>
                          </a:prstGeom>
                          <a:noFill/>
                          <a:ln>
                            <a:noFill/>
                          </a:ln>
                          <a:extLst>
                            <a:ext uri="{53640926-AAD7-44D8-BBD7-CCE9431645EC}">
                              <a14:shadowObscured xmlns:a14="http://schemas.microsoft.com/office/drawing/2010/main"/>
                            </a:ext>
                          </a:extLst>
                        </pic:spPr>
                      </pic:pic>
                    </a:graphicData>
                  </a:graphic>
                </wp:inline>
              </w:drawing>
            </w:r>
          </w:p>
          <w:p w14:paraId="1131ACB6" w14:textId="77777777" w:rsidR="0099407F" w:rsidRPr="00FB7E5E" w:rsidRDefault="0099407F" w:rsidP="00D07F28">
            <w:pPr>
              <w:rPr>
                <w:rFonts w:asciiTheme="minorHAnsi" w:hAnsiTheme="minorHAnsi" w:cstheme="minorHAnsi"/>
                <w:smallCaps/>
                <w:color w:val="44546A" w:themeColor="text2"/>
                <w:sz w:val="14"/>
                <w:szCs w:val="14"/>
              </w:rPr>
            </w:pPr>
            <w:r w:rsidRPr="00FB7E5E">
              <w:rPr>
                <w:rFonts w:asciiTheme="minorHAnsi" w:hAnsiTheme="minorHAnsi" w:cstheme="minorHAnsi"/>
                <w:smallCaps/>
                <w:color w:val="44546A" w:themeColor="text2"/>
                <w:sz w:val="14"/>
                <w:szCs w:val="14"/>
              </w:rPr>
              <w:t>*Población tomada de las proyecciones del INEC y CCP</w:t>
            </w:r>
          </w:p>
          <w:p w14:paraId="39BB6B2E" w14:textId="77777777" w:rsidR="0099407F" w:rsidRPr="00FB7E5E" w:rsidRDefault="0099407F" w:rsidP="00D07F28">
            <w:pPr>
              <w:rPr>
                <w:rFonts w:asciiTheme="minorHAnsi" w:hAnsiTheme="minorHAnsi" w:cstheme="minorHAnsi"/>
                <w:b/>
                <w:smallCaps/>
                <w:color w:val="44546A" w:themeColor="text2"/>
              </w:rPr>
            </w:pPr>
          </w:p>
        </w:tc>
        <w:tc>
          <w:tcPr>
            <w:tcW w:w="5373" w:type="dxa"/>
          </w:tcPr>
          <w:p w14:paraId="660B8BDD" w14:textId="77777777" w:rsidR="0099407F" w:rsidRPr="00FB7E5E" w:rsidRDefault="0099407F" w:rsidP="00D07F28">
            <w:pPr>
              <w:rPr>
                <w:rFonts w:asciiTheme="minorHAnsi" w:hAnsiTheme="minorHAnsi" w:cstheme="minorHAnsi"/>
                <w:b/>
                <w:bCs/>
                <w:color w:val="595959" w:themeColor="text1" w:themeTint="A6"/>
              </w:rPr>
            </w:pPr>
          </w:p>
          <w:p w14:paraId="64019A6A" w14:textId="77777777" w:rsidR="0099407F" w:rsidRPr="00FB7E5E" w:rsidRDefault="0099407F" w:rsidP="00D07F28">
            <w:pPr>
              <w:jc w:val="center"/>
              <w:rPr>
                <w:rFonts w:asciiTheme="minorHAnsi" w:hAnsiTheme="minorHAnsi" w:cstheme="minorHAnsi"/>
                <w:b/>
                <w:smallCaps/>
              </w:rPr>
            </w:pPr>
            <w:r w:rsidRPr="00FB7E5E">
              <w:rPr>
                <w:rFonts w:cstheme="minorHAnsi"/>
                <w:b/>
                <w:smallCaps/>
                <w:noProof/>
              </w:rPr>
              <w:drawing>
                <wp:inline distT="0" distB="0" distL="0" distR="0" wp14:anchorId="35081BA3" wp14:editId="131918C1">
                  <wp:extent cx="3323230" cy="223381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153" t="4440" r="11343" b="3122"/>
                          <a:stretch/>
                        </pic:blipFill>
                        <pic:spPr bwMode="auto">
                          <a:xfrm>
                            <a:off x="0" y="0"/>
                            <a:ext cx="3357478" cy="2256832"/>
                          </a:xfrm>
                          <a:prstGeom prst="rect">
                            <a:avLst/>
                          </a:prstGeom>
                          <a:noFill/>
                          <a:ln>
                            <a:noFill/>
                          </a:ln>
                          <a:extLst>
                            <a:ext uri="{53640926-AAD7-44D8-BBD7-CCE9431645EC}">
                              <a14:shadowObscured xmlns:a14="http://schemas.microsoft.com/office/drawing/2010/main"/>
                            </a:ext>
                          </a:extLst>
                        </pic:spPr>
                      </pic:pic>
                    </a:graphicData>
                  </a:graphic>
                </wp:inline>
              </w:drawing>
            </w:r>
          </w:p>
          <w:p w14:paraId="2C8DBB63" w14:textId="77777777" w:rsidR="0099407F" w:rsidRPr="00FB7E5E" w:rsidRDefault="0099407F" w:rsidP="00D07F28">
            <w:pPr>
              <w:rPr>
                <w:rFonts w:asciiTheme="minorHAnsi" w:hAnsiTheme="minorHAnsi" w:cstheme="minorHAnsi"/>
                <w:b/>
                <w:bCs/>
                <w:smallCaps/>
              </w:rPr>
            </w:pPr>
            <w:r w:rsidRPr="00FB7E5E">
              <w:rPr>
                <w:rFonts w:asciiTheme="minorHAnsi" w:hAnsiTheme="minorHAnsi" w:cstheme="minorHAnsi"/>
                <w:smallCaps/>
                <w:color w:val="44546A" w:themeColor="text2"/>
                <w:sz w:val="14"/>
                <w:szCs w:val="14"/>
              </w:rPr>
              <w:t>*PIB del 2021 ajustado y proyectado por BCCR para 2022</w:t>
            </w:r>
          </w:p>
        </w:tc>
      </w:tr>
    </w:tbl>
    <w:p w14:paraId="300D1EBB" w14:textId="2E3F9800" w:rsidR="0099407F" w:rsidRPr="00FB7E5E" w:rsidRDefault="0099407F" w:rsidP="0099407F">
      <w:pPr>
        <w:spacing w:after="0" w:line="240" w:lineRule="auto"/>
        <w:rPr>
          <w:rFonts w:cstheme="minorHAnsi"/>
          <w:b/>
          <w:bCs/>
          <w:sz w:val="24"/>
          <w:szCs w:val="24"/>
          <w:highlight w:val="yellow"/>
        </w:rPr>
      </w:pPr>
      <w:r w:rsidRPr="00FB7E5E">
        <w:rPr>
          <w:rFonts w:cstheme="minorHAnsi"/>
          <w:color w:val="595959" w:themeColor="text1" w:themeTint="A6"/>
          <w:sz w:val="20"/>
          <w:szCs w:val="20"/>
        </w:rPr>
        <w:t>Fuente: Superintendencia General de Seguros (Sugese)</w:t>
      </w:r>
    </w:p>
    <w:p w14:paraId="0260AEA0" w14:textId="77777777" w:rsidR="0099407F" w:rsidRPr="00FB7E5E" w:rsidRDefault="0099407F" w:rsidP="0099407F">
      <w:pPr>
        <w:spacing w:after="0" w:line="240" w:lineRule="auto"/>
        <w:rPr>
          <w:rFonts w:cstheme="minorHAnsi"/>
          <w:b/>
          <w:sz w:val="24"/>
          <w:szCs w:val="24"/>
          <w:highlight w:val="yellow"/>
        </w:rPr>
      </w:pPr>
    </w:p>
    <w:p w14:paraId="5217D690" w14:textId="77777777" w:rsidR="0099407F" w:rsidRPr="00FB7E5E" w:rsidRDefault="0099407F" w:rsidP="0099407F">
      <w:pPr>
        <w:rPr>
          <w:rFonts w:cstheme="minorHAnsi"/>
          <w:b/>
          <w:sz w:val="24"/>
          <w:szCs w:val="24"/>
          <w:highlight w:val="yellow"/>
        </w:rPr>
      </w:pPr>
      <w:r w:rsidRPr="00FB7E5E">
        <w:rPr>
          <w:rFonts w:cstheme="minorHAnsi"/>
          <w:b/>
          <w:sz w:val="24"/>
          <w:szCs w:val="24"/>
          <w:highlight w:val="yellow"/>
        </w:rPr>
        <w:br w:type="page"/>
      </w:r>
    </w:p>
    <w:p w14:paraId="778F331E" w14:textId="77777777" w:rsidR="0099407F" w:rsidRPr="00FB7E5E" w:rsidRDefault="0099407F" w:rsidP="0099407F">
      <w:pPr>
        <w:spacing w:after="0" w:line="240" w:lineRule="auto"/>
        <w:rPr>
          <w:rFonts w:cstheme="minorHAnsi"/>
          <w:b/>
          <w:bCs/>
          <w:sz w:val="24"/>
          <w:szCs w:val="24"/>
        </w:rPr>
      </w:pPr>
      <w:r w:rsidRPr="00FB7E5E">
        <w:rPr>
          <w:rFonts w:cstheme="minorHAnsi"/>
          <w:b/>
          <w:noProof/>
          <w:sz w:val="24"/>
          <w:szCs w:val="24"/>
        </w:rPr>
        <w:lastRenderedPageBreak/>
        <mc:AlternateContent>
          <mc:Choice Requires="wps">
            <w:drawing>
              <wp:anchor distT="0" distB="0" distL="114300" distR="114300" simplePos="0" relativeHeight="251666432" behindDoc="0" locked="0" layoutInCell="1" allowOverlap="1" wp14:anchorId="44D7641A" wp14:editId="162817EF">
                <wp:simplePos x="0" y="0"/>
                <wp:positionH relativeFrom="column">
                  <wp:posOffset>3776377</wp:posOffset>
                </wp:positionH>
                <wp:positionV relativeFrom="paragraph">
                  <wp:posOffset>106270</wp:posOffset>
                </wp:positionV>
                <wp:extent cx="2665562" cy="3981691"/>
                <wp:effectExtent l="0" t="0" r="1905" b="0"/>
                <wp:wrapNone/>
                <wp:docPr id="33" name="Cuadro de texto 33"/>
                <wp:cNvGraphicFramePr/>
                <a:graphic xmlns:a="http://schemas.openxmlformats.org/drawingml/2006/main">
                  <a:graphicData uri="http://schemas.microsoft.com/office/word/2010/wordprocessingShape">
                    <wps:wsp>
                      <wps:cNvSpPr txBox="1"/>
                      <wps:spPr>
                        <a:xfrm>
                          <a:off x="0" y="0"/>
                          <a:ext cx="2665562" cy="3981691"/>
                        </a:xfrm>
                        <a:prstGeom prst="rect">
                          <a:avLst/>
                        </a:prstGeom>
                        <a:solidFill>
                          <a:schemeClr val="lt1"/>
                        </a:solidFill>
                        <a:ln w="6350">
                          <a:noFill/>
                        </a:ln>
                      </wps:spPr>
                      <wps:txbx>
                        <w:txbxContent>
                          <w:p w14:paraId="13D01B5B" w14:textId="77777777" w:rsidR="0099407F" w:rsidRPr="0072723A" w:rsidRDefault="0099407F" w:rsidP="0099407F">
                            <w:pPr>
                              <w:jc w:val="both"/>
                              <w:rPr>
                                <w:rFonts w:cstheme="minorHAnsi"/>
                                <w:noProof/>
                              </w:rPr>
                            </w:pPr>
                            <w:r w:rsidRPr="0072723A">
                              <w:rPr>
                                <w:rFonts w:cstheme="minorHAnsi"/>
                                <w:noProof/>
                              </w:rPr>
                              <w:t xml:space="preserve">En el 2022, los ramos de seguros voluntarios con mayor primaje fueron: vida, automóviles, salud y el de incendio y líneas aliadas, en este orden. </w:t>
                            </w:r>
                          </w:p>
                          <w:p w14:paraId="31B61C52" w14:textId="77777777" w:rsidR="0099407F" w:rsidRPr="0072723A" w:rsidRDefault="0099407F" w:rsidP="0099407F">
                            <w:pPr>
                              <w:jc w:val="both"/>
                              <w:rPr>
                                <w:rFonts w:cstheme="minorHAnsi"/>
                                <w:noProof/>
                              </w:rPr>
                            </w:pPr>
                            <w:r w:rsidRPr="0072723A">
                              <w:rPr>
                                <w:rFonts w:cstheme="minorHAnsi"/>
                                <w:noProof/>
                              </w:rPr>
                              <w:t xml:space="preserve">Este grupo de ramos se ha mantenido como el de mayor volumen de primas a traves del tiempo, sin embargo el ramo de vida por primera vez ocupa la primera posición, historicamente este lugar era ocupado por el ramo de automóviles, señal de diversificación y de ampliación en el grado de cobertura de los seguros personales en nuestro país. </w:t>
                            </w:r>
                          </w:p>
                          <w:p w14:paraId="32693A59" w14:textId="5D7A793A" w:rsidR="0099407F" w:rsidRPr="0072723A" w:rsidRDefault="0099407F" w:rsidP="0099407F">
                            <w:pPr>
                              <w:jc w:val="both"/>
                              <w:rPr>
                                <w:rFonts w:cstheme="minorHAnsi"/>
                              </w:rPr>
                            </w:pPr>
                            <w:r w:rsidRPr="0072723A">
                              <w:rPr>
                                <w:rFonts w:cstheme="minorHAnsi"/>
                                <w:noProof/>
                              </w:rPr>
                              <w:t>En conjunto, los cuatro ramos citados representaron para el 2022 el 80,5% de las primas del mercado voluntario</w:t>
                            </w:r>
                            <w:r w:rsidR="00637D5E">
                              <w:rPr>
                                <w:rFonts w:cstheme="minorHAnsi"/>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7641A" id="_x0000_t202" coordsize="21600,21600" o:spt="202" path="m,l,21600r21600,l21600,xe">
                <v:stroke joinstyle="miter"/>
                <v:path gradientshapeok="t" o:connecttype="rect"/>
              </v:shapetype>
              <v:shape id="Cuadro de texto 33" o:spid="_x0000_s1026" type="#_x0000_t202" style="position:absolute;margin-left:297.35pt;margin-top:8.35pt;width:209.9pt;height: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" fillcolor="white [3201]" stroked="f" strokeweight=".5pt">
                <v:textbox>
                  <w:txbxContent>
                    <w:p w14:paraId="13D01B5B" w14:textId="77777777" w:rsidR="0099407F" w:rsidRPr="0072723A" w:rsidRDefault="0099407F" w:rsidP="0099407F">
                      <w:pPr>
                        <w:jc w:val="both"/>
                        <w:rPr>
                          <w:rFonts w:cstheme="minorHAnsi"/>
                          <w:noProof/>
                        </w:rPr>
                      </w:pPr>
                      <w:r w:rsidRPr="0072723A">
                        <w:rPr>
                          <w:rFonts w:cstheme="minorHAnsi"/>
                          <w:noProof/>
                        </w:rPr>
                        <w:t xml:space="preserve">En el 2022, los ramos de seguros voluntarios con mayor primaje fueron: vida, automóviles, salud y el de incendio y líneas aliadas, en este orden. </w:t>
                      </w:r>
                    </w:p>
                    <w:p w14:paraId="31B61C52" w14:textId="77777777" w:rsidR="0099407F" w:rsidRPr="0072723A" w:rsidRDefault="0099407F" w:rsidP="0099407F">
                      <w:pPr>
                        <w:jc w:val="both"/>
                        <w:rPr>
                          <w:rFonts w:cstheme="minorHAnsi"/>
                          <w:noProof/>
                        </w:rPr>
                      </w:pPr>
                      <w:r w:rsidRPr="0072723A">
                        <w:rPr>
                          <w:rFonts w:cstheme="minorHAnsi"/>
                          <w:noProof/>
                        </w:rPr>
                        <w:t xml:space="preserve">Este grupo de ramos se ha mantenido como el de mayor volumen de primas a traves del tiempo, sin embargo el ramo de vida por primera vez ocupa la primera posición, historicamente este lugar era ocupado por el ramo de automóviles, señal de diversificación y de ampliación en el grado de cobertura de los seguros personales en nuestro país. </w:t>
                      </w:r>
                    </w:p>
                    <w:p w14:paraId="32693A59" w14:textId="5D7A793A" w:rsidR="0099407F" w:rsidRPr="0072723A" w:rsidRDefault="0099407F" w:rsidP="0099407F">
                      <w:pPr>
                        <w:jc w:val="both"/>
                        <w:rPr>
                          <w:rFonts w:cstheme="minorHAnsi"/>
                        </w:rPr>
                      </w:pPr>
                      <w:r w:rsidRPr="0072723A">
                        <w:rPr>
                          <w:rFonts w:cstheme="minorHAnsi"/>
                          <w:noProof/>
                        </w:rPr>
                        <w:t>En conjunto, los cuatro ramos citados representaron para el 2022 el 80,5% de las primas del mercado voluntario</w:t>
                      </w:r>
                      <w:r w:rsidR="00637D5E">
                        <w:rPr>
                          <w:rFonts w:cstheme="minorHAnsi"/>
                          <w:noProof/>
                        </w:rPr>
                        <w:t>.</w:t>
                      </w:r>
                    </w:p>
                  </w:txbxContent>
                </v:textbox>
              </v:shape>
            </w:pict>
          </mc:Fallback>
        </mc:AlternateContent>
      </w:r>
      <w:r w:rsidRPr="00FB7E5E">
        <w:rPr>
          <w:rFonts w:cstheme="minorHAnsi"/>
          <w:b/>
          <w:bCs/>
          <w:sz w:val="24"/>
          <w:szCs w:val="24"/>
        </w:rPr>
        <w:t>Gráfico 4</w:t>
      </w:r>
    </w:p>
    <w:p w14:paraId="4BA910D1"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Distribución relativa de los ingresos por primas en los </w:t>
      </w:r>
    </w:p>
    <w:p w14:paraId="2FF6F2C6"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seguros voluntarios por ramo, 2022</w:t>
      </w:r>
    </w:p>
    <w:p w14:paraId="2FCC6F65"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(porcentajes)</w:t>
      </w:r>
    </w:p>
    <w:p w14:paraId="50DA4AE2" w14:textId="77777777" w:rsidR="0099407F" w:rsidRPr="00FB7E5E" w:rsidRDefault="0099407F" w:rsidP="0099407F">
      <w:pPr>
        <w:spacing w:after="0" w:line="240" w:lineRule="auto"/>
        <w:rPr>
          <w:rFonts w:cstheme="minorHAnsi"/>
          <w:b/>
          <w:sz w:val="24"/>
          <w:szCs w:val="24"/>
          <w:highlight w:val="yellow"/>
        </w:rPr>
      </w:pPr>
      <w:r w:rsidRPr="00FB7E5E">
        <w:rPr>
          <w:rFonts w:cstheme="minorHAnsi"/>
          <w:noProof/>
        </w:rPr>
        <mc:AlternateContent>
          <mc:Choice Requires="wps">
            <w:drawing>
              <wp:anchor distT="0" distB="0" distL="114300" distR="114300" simplePos="0" relativeHeight="251665408" behindDoc="0" locked="0" layoutInCell="1" allowOverlap="1" wp14:anchorId="1B2AE12D" wp14:editId="570D3B69">
                <wp:simplePos x="0" y="0"/>
                <wp:positionH relativeFrom="column">
                  <wp:posOffset>2759818</wp:posOffset>
                </wp:positionH>
                <wp:positionV relativeFrom="paragraph">
                  <wp:posOffset>1929561</wp:posOffset>
                </wp:positionV>
                <wp:extent cx="862642" cy="241540"/>
                <wp:effectExtent l="0" t="0" r="0" b="6350"/>
                <wp:wrapNone/>
                <wp:docPr id="28" name="Cuadro de texto 28"/>
                <wp:cNvGraphicFramePr/>
                <a:graphic xmlns:a="http://schemas.openxmlformats.org/drawingml/2006/main">
                  <a:graphicData uri="http://schemas.microsoft.com/office/word/2010/wordprocessingShape">
                    <wps:wsp>
                      <wps:cNvSpPr txBox="1"/>
                      <wps:spPr>
                        <a:xfrm>
                          <a:off x="0" y="0"/>
                          <a:ext cx="862642" cy="241540"/>
                        </a:xfrm>
                        <a:prstGeom prst="rect">
                          <a:avLst/>
                        </a:prstGeom>
                        <a:solidFill>
                          <a:schemeClr val="lt1"/>
                        </a:solidFill>
                        <a:ln w="6350">
                          <a:noFill/>
                        </a:ln>
                      </wps:spPr>
                      <wps:txbx>
                        <w:txbxContent>
                          <w:p w14:paraId="09F049E4" w14:textId="77777777" w:rsidR="0099407F" w:rsidRPr="00CA5B07" w:rsidRDefault="0099407F" w:rsidP="0099407F">
                            <w:pPr>
                              <w:rPr>
                                <w:b/>
                                <w:bCs/>
                                <w:color w:val="808080" w:themeColor="background1" w:themeShade="80"/>
                                <w:sz w:val="16"/>
                                <w:szCs w:val="16"/>
                              </w:rPr>
                            </w:pPr>
                            <w:r w:rsidRPr="00CA5B07">
                              <w:rPr>
                                <w:b/>
                                <w:bCs/>
                                <w:color w:val="808080" w:themeColor="background1" w:themeShade="80"/>
                                <w:sz w:val="16"/>
                                <w:szCs w:val="16"/>
                              </w:rPr>
                              <w:t>Incendios y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E12D" id="Cuadro de texto 28" o:spid="_x0000_s1027" type="#_x0000_t202" style="position:absolute;margin-left:217.3pt;margin-top:151.95pt;width:67.9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" fillcolor="white [3201]" stroked="f" strokeweight=".5pt">
                <v:textbox>
                  <w:txbxContent>
                    <w:p w14:paraId="09F049E4" w14:textId="77777777" w:rsidR="0099407F" w:rsidRPr="00CA5B07" w:rsidRDefault="0099407F" w:rsidP="0099407F">
                      <w:pPr>
                        <w:rPr>
                          <w:b/>
                          <w:bCs/>
                          <w:color w:val="808080" w:themeColor="background1" w:themeShade="80"/>
                          <w:sz w:val="16"/>
                          <w:szCs w:val="16"/>
                        </w:rPr>
                      </w:pPr>
                      <w:r w:rsidRPr="00CA5B07">
                        <w:rPr>
                          <w:b/>
                          <w:bCs/>
                          <w:color w:val="808080" w:themeColor="background1" w:themeShade="80"/>
                          <w:sz w:val="16"/>
                          <w:szCs w:val="16"/>
                        </w:rPr>
                        <w:t>Incendios y L.A.</w:t>
                      </w:r>
                    </w:p>
                  </w:txbxContent>
                </v:textbox>
              </v:shape>
            </w:pict>
          </mc:Fallback>
        </mc:AlternateContent>
      </w:r>
      <w:r w:rsidRPr="00FB7E5E">
        <w:rPr>
          <w:rFonts w:cstheme="minorHAnsi"/>
          <w:noProof/>
        </w:rPr>
        <w:drawing>
          <wp:inline distT="0" distB="0" distL="0" distR="0" wp14:anchorId="31AD1099" wp14:editId="5762952C">
            <wp:extent cx="3625598" cy="2966939"/>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138"/>
                    <a:stretch/>
                  </pic:blipFill>
                  <pic:spPr bwMode="auto">
                    <a:xfrm>
                      <a:off x="0" y="0"/>
                      <a:ext cx="3651092" cy="2987801"/>
                    </a:xfrm>
                    <a:prstGeom prst="rect">
                      <a:avLst/>
                    </a:prstGeom>
                    <a:ln>
                      <a:noFill/>
                    </a:ln>
                    <a:extLst>
                      <a:ext uri="{53640926-AAD7-44D8-BBD7-CCE9431645EC}">
                        <a14:shadowObscured xmlns:a14="http://schemas.microsoft.com/office/drawing/2010/main"/>
                      </a:ext>
                    </a:extLst>
                  </pic:spPr>
                </pic:pic>
              </a:graphicData>
            </a:graphic>
          </wp:inline>
        </w:drawing>
      </w:r>
    </w:p>
    <w:p w14:paraId="6177AE18"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475EC16F" w14:textId="77777777" w:rsidR="0099407F" w:rsidRPr="00FB7E5E" w:rsidRDefault="0099407F" w:rsidP="0099407F">
      <w:pPr>
        <w:spacing w:after="0" w:line="240" w:lineRule="auto"/>
        <w:rPr>
          <w:rFonts w:cstheme="minorHAnsi"/>
          <w:sz w:val="20"/>
          <w:szCs w:val="24"/>
          <w:highlight w:val="yellow"/>
        </w:rPr>
      </w:pPr>
    </w:p>
    <w:p w14:paraId="192F9CB0" w14:textId="77777777" w:rsidR="0099407F" w:rsidRPr="00FB7E5E" w:rsidRDefault="0099407F" w:rsidP="0099407F">
      <w:pPr>
        <w:spacing w:after="0" w:line="240" w:lineRule="auto"/>
        <w:jc w:val="both"/>
        <w:rPr>
          <w:rFonts w:cstheme="minorHAnsi"/>
          <w:sz w:val="24"/>
          <w:highlight w:val="yellow"/>
        </w:rPr>
      </w:pPr>
    </w:p>
    <w:p w14:paraId="529ACBDA"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5</w:t>
      </w:r>
    </w:p>
    <w:p w14:paraId="178B41B7"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Primas de seguros voluntarios según ramo, 2021-2022 </w:t>
      </w:r>
    </w:p>
    <w:p w14:paraId="5464C2F3"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(miles de millones de colones corrientes)</w:t>
      </w:r>
    </w:p>
    <w:p w14:paraId="3897CA55" w14:textId="77777777" w:rsidR="0099407F" w:rsidRPr="00FB7E5E" w:rsidRDefault="0099407F" w:rsidP="0099407F">
      <w:pPr>
        <w:spacing w:after="0" w:line="240" w:lineRule="auto"/>
        <w:jc w:val="center"/>
        <w:rPr>
          <w:rFonts w:cstheme="minorHAnsi"/>
          <w:b/>
          <w:sz w:val="24"/>
          <w:szCs w:val="24"/>
        </w:rPr>
      </w:pPr>
      <w:r w:rsidRPr="00FB7E5E">
        <w:rPr>
          <w:rFonts w:cstheme="minorHAnsi"/>
          <w:noProof/>
        </w:rPr>
        <mc:AlternateContent>
          <mc:Choice Requires="wps">
            <w:drawing>
              <wp:anchor distT="0" distB="0" distL="114300" distR="114300" simplePos="0" relativeHeight="251659264" behindDoc="0" locked="0" layoutInCell="1" allowOverlap="1" wp14:anchorId="7C019FC8" wp14:editId="137FB74D">
                <wp:simplePos x="0" y="0"/>
                <wp:positionH relativeFrom="column">
                  <wp:posOffset>5925185</wp:posOffset>
                </wp:positionH>
                <wp:positionV relativeFrom="paragraph">
                  <wp:posOffset>1668096</wp:posOffset>
                </wp:positionV>
                <wp:extent cx="517070" cy="277202"/>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17070" cy="277202"/>
                        </a:xfrm>
                        <a:prstGeom prst="rect">
                          <a:avLst/>
                        </a:prstGeom>
                        <a:noFill/>
                        <a:ln w="6350">
                          <a:noFill/>
                        </a:ln>
                      </wps:spPr>
                      <wps:txbx>
                        <w:txbxContent>
                          <w:p w14:paraId="624F7655" w14:textId="77777777" w:rsidR="0099407F" w:rsidRPr="00637D5E" w:rsidRDefault="0099407F" w:rsidP="0099407F">
                            <w:pPr>
                              <w:jc w:val="right"/>
                              <w:rPr>
                                <w:color w:val="FFFFFF" w:themeColor="background1"/>
                                <w:sz w:val="13"/>
                                <w:szCs w:val="13"/>
                              </w:rPr>
                            </w:pPr>
                            <w:r w:rsidRPr="00637D5E">
                              <w:rPr>
                                <w:color w:val="FFFFFF" w:themeColor="background1"/>
                                <w:sz w:val="13"/>
                                <w:szCs w:val="13"/>
                              </w:rPr>
                              <w:t>188,7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19FC8" id="Cuadro de texto 29" o:spid="_x0000_s1028" type="#_x0000_t202" style="position:absolute;left:0;text-align:left;margin-left:466.55pt;margin-top:131.35pt;width:40.7pt;height:2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" filled="f" stroked="f" strokeweight=".5pt">
                <v:textbox>
                  <w:txbxContent>
                    <w:p w14:paraId="624F7655" w14:textId="77777777" w:rsidR="0099407F" w:rsidRPr="00637D5E" w:rsidRDefault="0099407F" w:rsidP="0099407F">
                      <w:pPr>
                        <w:jc w:val="right"/>
                        <w:rPr>
                          <w:color w:val="FFFFFF" w:themeColor="background1"/>
                          <w:sz w:val="13"/>
                          <w:szCs w:val="13"/>
                        </w:rPr>
                      </w:pPr>
                      <w:r w:rsidRPr="00637D5E">
                        <w:rPr>
                          <w:color w:val="FFFFFF" w:themeColor="background1"/>
                          <w:sz w:val="13"/>
                          <w:szCs w:val="13"/>
                        </w:rPr>
                        <w:t>188,7</w:t>
                      </w:r>
                    </w:p>
                  </w:txbxContent>
                </v:textbox>
              </v:shape>
            </w:pict>
          </mc:Fallback>
        </mc:AlternateContent>
      </w:r>
      <w:r w:rsidRPr="00FB7E5E">
        <w:rPr>
          <w:rFonts w:cstheme="minorHAnsi"/>
          <w:noProof/>
        </w:rPr>
        <w:drawing>
          <wp:inline distT="0" distB="0" distL="0" distR="0" wp14:anchorId="0C792AB4" wp14:editId="73463033">
            <wp:extent cx="6443345" cy="2797038"/>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57" r="4736"/>
                    <a:stretch/>
                  </pic:blipFill>
                  <pic:spPr bwMode="auto">
                    <a:xfrm>
                      <a:off x="0" y="0"/>
                      <a:ext cx="6571314" cy="2852589"/>
                    </a:xfrm>
                    <a:prstGeom prst="rect">
                      <a:avLst/>
                    </a:prstGeom>
                    <a:ln>
                      <a:noFill/>
                    </a:ln>
                    <a:extLst>
                      <a:ext uri="{53640926-AAD7-44D8-BBD7-CCE9431645EC}">
                        <a14:shadowObscured xmlns:a14="http://schemas.microsoft.com/office/drawing/2010/main"/>
                      </a:ext>
                    </a:extLst>
                  </pic:spPr>
                </pic:pic>
              </a:graphicData>
            </a:graphic>
          </wp:inline>
        </w:drawing>
      </w:r>
    </w:p>
    <w:p w14:paraId="3239E17E"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718C649B" w14:textId="77777777" w:rsidR="0099407F" w:rsidRPr="0072723A" w:rsidRDefault="0099407F" w:rsidP="0099407F">
      <w:pPr>
        <w:spacing w:after="0" w:line="240" w:lineRule="auto"/>
        <w:jc w:val="both"/>
        <w:rPr>
          <w:rFonts w:cstheme="minorHAnsi"/>
        </w:rPr>
      </w:pPr>
      <w:r w:rsidRPr="0072723A">
        <w:rPr>
          <w:rFonts w:cstheme="minorHAnsi"/>
        </w:rPr>
        <w:lastRenderedPageBreak/>
        <w:t xml:space="preserve">Como se mencionó previamente, vida es el ramo del segmento de seguros voluntarios con mayores montos de primas para este periodo, con más de </w:t>
      </w:r>
      <w:r w:rsidRPr="0072723A">
        <w:rPr>
          <w:rFonts w:cstheme="minorHAnsi"/>
          <w:color w:val="000000" w:themeColor="text1"/>
        </w:rPr>
        <w:t>₡</w:t>
      </w:r>
      <w:r w:rsidRPr="0072723A">
        <w:rPr>
          <w:rFonts w:cstheme="minorHAnsi"/>
          <w:color w:val="000000" w:themeColor="text1"/>
          <w:lang w:val="es-ES"/>
        </w:rPr>
        <w:t xml:space="preserve"> 188,7</w:t>
      </w:r>
      <w:r w:rsidRPr="0072723A">
        <w:rPr>
          <w:rFonts w:cstheme="minorHAnsi"/>
        </w:rPr>
        <w:t xml:space="preserve"> mil millones; además fue el ramo con el mayor crecimiento absoluto (</w:t>
      </w:r>
      <w:r w:rsidRPr="0072723A">
        <w:rPr>
          <w:rFonts w:cstheme="minorHAnsi"/>
          <w:color w:val="000000" w:themeColor="text1"/>
        </w:rPr>
        <w:t>₡</w:t>
      </w:r>
      <w:r w:rsidRPr="0072723A">
        <w:rPr>
          <w:rFonts w:cstheme="minorHAnsi"/>
          <w:color w:val="000000" w:themeColor="text1"/>
          <w:lang w:val="es-ES"/>
        </w:rPr>
        <w:t xml:space="preserve"> 40,9</w:t>
      </w:r>
      <w:r w:rsidRPr="0072723A">
        <w:rPr>
          <w:rFonts w:cstheme="minorHAnsi"/>
        </w:rPr>
        <w:t xml:space="preserve"> mil millones), lo que repercutió en una ganancia de su participación relativa de 5,6 p.p. de ese ramo. Esta dinámica es consistente con el crecimiento en la oferta de productos en este ramo en los últimos periodos; además, para el 2022, la aseguradora Lafise se incorporó a la oferta de pólizas de vida.</w:t>
      </w:r>
    </w:p>
    <w:p w14:paraId="31FC733D" w14:textId="77777777" w:rsidR="0099407F" w:rsidRPr="0072723A" w:rsidRDefault="0099407F" w:rsidP="0099407F">
      <w:pPr>
        <w:spacing w:after="0" w:line="240" w:lineRule="auto"/>
        <w:jc w:val="both"/>
        <w:rPr>
          <w:rFonts w:cstheme="minorHAnsi"/>
          <w:color w:val="000000" w:themeColor="text1"/>
        </w:rPr>
      </w:pPr>
    </w:p>
    <w:p w14:paraId="3CDDB869" w14:textId="77777777" w:rsidR="0099407F" w:rsidRPr="0072723A" w:rsidRDefault="0099407F" w:rsidP="0099407F">
      <w:pPr>
        <w:spacing w:after="0" w:line="240" w:lineRule="auto"/>
        <w:jc w:val="both"/>
        <w:rPr>
          <w:rFonts w:cstheme="minorHAnsi"/>
        </w:rPr>
      </w:pPr>
      <w:r w:rsidRPr="0072723A">
        <w:rPr>
          <w:rFonts w:cstheme="minorHAnsi"/>
          <w:color w:val="000000" w:themeColor="text1"/>
        </w:rPr>
        <w:t xml:space="preserve">El ramo con la baja en primas más pronunciada fue el de caución, con ₡ 2,9 mil millones menos que lo registrado en el 2021; sin embargo, este es un ramo que no presenta comportamiento estable y cuyas variaciones suelen presentar fluctuaciones entre periodos. </w:t>
      </w:r>
    </w:p>
    <w:p w14:paraId="20F87867" w14:textId="77777777" w:rsidR="0099407F" w:rsidRPr="00FB7E5E" w:rsidRDefault="0099407F" w:rsidP="0099407F">
      <w:pPr>
        <w:spacing w:after="0" w:line="240" w:lineRule="auto"/>
        <w:jc w:val="both"/>
        <w:rPr>
          <w:rFonts w:cstheme="minorHAnsi"/>
          <w:sz w:val="24"/>
          <w:szCs w:val="24"/>
          <w:highlight w:val="yellow"/>
        </w:rPr>
      </w:pPr>
    </w:p>
    <w:p w14:paraId="772FBC3D"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Cuadro 2</w:t>
      </w:r>
    </w:p>
    <w:p w14:paraId="7D557288"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Variación de las primas de seguros voluntarios según ramo, 2021-2022 </w:t>
      </w:r>
    </w:p>
    <w:p w14:paraId="5217CDB5" w14:textId="77777777" w:rsidR="0099407F" w:rsidRPr="00FB7E5E" w:rsidRDefault="0099407F" w:rsidP="0099407F">
      <w:pPr>
        <w:spacing w:line="240" w:lineRule="auto"/>
        <w:rPr>
          <w:rFonts w:cstheme="minorHAnsi"/>
          <w:sz w:val="20"/>
          <w:szCs w:val="20"/>
        </w:rPr>
      </w:pPr>
      <w:r w:rsidRPr="00FB7E5E">
        <w:rPr>
          <w:rFonts w:cstheme="minorHAnsi"/>
          <w:sz w:val="20"/>
          <w:szCs w:val="20"/>
        </w:rPr>
        <w:t>(porcentajes y miles de millones de colones corrientes)</w:t>
      </w:r>
    </w:p>
    <w:p w14:paraId="763B6DCB" w14:textId="77777777" w:rsidR="0099407F" w:rsidRPr="00FB7E5E" w:rsidRDefault="0099407F" w:rsidP="0099407F">
      <w:pPr>
        <w:spacing w:after="0" w:line="240" w:lineRule="auto"/>
        <w:rPr>
          <w:rFonts w:cstheme="minorHAnsi"/>
          <w:bCs/>
          <w:sz w:val="20"/>
          <w:szCs w:val="20"/>
          <w:highlight w:val="yellow"/>
        </w:rPr>
      </w:pPr>
      <w:r w:rsidRPr="00FB7E5E">
        <w:rPr>
          <w:rFonts w:cstheme="minorHAnsi"/>
          <w:noProof/>
        </w:rPr>
        <mc:AlternateContent>
          <mc:Choice Requires="wps">
            <w:drawing>
              <wp:anchor distT="0" distB="0" distL="114300" distR="114300" simplePos="0" relativeHeight="251660288" behindDoc="0" locked="0" layoutInCell="1" allowOverlap="1" wp14:anchorId="748806AF" wp14:editId="7BFDE10D">
                <wp:simplePos x="0" y="0"/>
                <wp:positionH relativeFrom="column">
                  <wp:posOffset>64853</wp:posOffset>
                </wp:positionH>
                <wp:positionV relativeFrom="paragraph">
                  <wp:posOffset>392485</wp:posOffset>
                </wp:positionV>
                <wp:extent cx="159026" cy="133109"/>
                <wp:effectExtent l="0" t="0" r="12700" b="19685"/>
                <wp:wrapNone/>
                <wp:docPr id="31" name="Elipse 31"/>
                <wp:cNvGraphicFramePr/>
                <a:graphic xmlns:a="http://schemas.openxmlformats.org/drawingml/2006/main">
                  <a:graphicData uri="http://schemas.microsoft.com/office/word/2010/wordprocessingShape">
                    <wps:wsp>
                      <wps:cNvSpPr/>
                      <wps:spPr>
                        <a:xfrm>
                          <a:off x="0" y="0"/>
                          <a:ext cx="159026" cy="1331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19968E" id="Elipse 31" o:spid="_x0000_s1026" style="position:absolute;margin-left:5.1pt;margin-top:30.9pt;width:12.5pt;height:1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" fillcolor="white [3212]" strokecolor="white [3212]" strokeweight="1pt">
                <v:stroke joinstyle="miter"/>
              </v:oval>
            </w:pict>
          </mc:Fallback>
        </mc:AlternateContent>
      </w:r>
      <w:r w:rsidRPr="00FB7E5E">
        <w:rPr>
          <w:rFonts w:cstheme="minorHAnsi"/>
          <w:noProof/>
        </w:rPr>
        <w:drawing>
          <wp:inline distT="0" distB="0" distL="0" distR="0" wp14:anchorId="2E8B80F1" wp14:editId="38DE7452">
            <wp:extent cx="5972810" cy="3917950"/>
            <wp:effectExtent l="0" t="0" r="889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3917950"/>
                    </a:xfrm>
                    <a:prstGeom prst="rect">
                      <a:avLst/>
                    </a:prstGeom>
                  </pic:spPr>
                </pic:pic>
              </a:graphicData>
            </a:graphic>
          </wp:inline>
        </w:drawing>
      </w:r>
    </w:p>
    <w:p w14:paraId="60F00B2A"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73E9455D" w14:textId="77777777" w:rsidR="0099407F" w:rsidRPr="00FB7E5E" w:rsidRDefault="0099407F" w:rsidP="0099407F">
      <w:pPr>
        <w:spacing w:line="240" w:lineRule="auto"/>
        <w:rPr>
          <w:rFonts w:cstheme="minorHAnsi"/>
          <w:bCs/>
          <w:sz w:val="20"/>
          <w:szCs w:val="20"/>
          <w:highlight w:val="yellow"/>
        </w:rPr>
      </w:pPr>
    </w:p>
    <w:p w14:paraId="5716EB55" w14:textId="77777777" w:rsidR="0099407F" w:rsidRPr="00FB7E5E" w:rsidRDefault="0099407F" w:rsidP="0099407F">
      <w:pPr>
        <w:spacing w:line="240" w:lineRule="auto"/>
        <w:rPr>
          <w:rFonts w:cstheme="minorHAnsi"/>
          <w:bCs/>
          <w:sz w:val="20"/>
          <w:szCs w:val="20"/>
          <w:highlight w:val="yellow"/>
        </w:rPr>
      </w:pPr>
    </w:p>
    <w:p w14:paraId="254F011C" w14:textId="77777777" w:rsidR="0099407F" w:rsidRPr="00FB7E5E" w:rsidRDefault="0099407F" w:rsidP="0099407F">
      <w:pPr>
        <w:spacing w:after="0" w:line="240" w:lineRule="auto"/>
        <w:jc w:val="center"/>
        <w:rPr>
          <w:rFonts w:cstheme="minorHAnsi"/>
          <w:sz w:val="24"/>
          <w:szCs w:val="24"/>
          <w:highlight w:val="yellow"/>
        </w:rPr>
      </w:pPr>
    </w:p>
    <w:p w14:paraId="62EA51DB" w14:textId="77777777" w:rsidR="0099407F" w:rsidRPr="00FB7E5E" w:rsidRDefault="0099407F" w:rsidP="0099407F">
      <w:pPr>
        <w:spacing w:after="0" w:line="240" w:lineRule="auto"/>
        <w:jc w:val="center"/>
        <w:rPr>
          <w:rFonts w:cstheme="minorHAnsi"/>
          <w:sz w:val="24"/>
          <w:szCs w:val="24"/>
          <w:highlight w:val="yellow"/>
        </w:rPr>
      </w:pPr>
    </w:p>
    <w:p w14:paraId="525331B9" w14:textId="77777777" w:rsidR="0099407F" w:rsidRPr="0072723A" w:rsidRDefault="0099407F" w:rsidP="0099407F">
      <w:pPr>
        <w:spacing w:after="0" w:line="240" w:lineRule="auto"/>
        <w:jc w:val="both"/>
        <w:rPr>
          <w:rFonts w:cstheme="minorHAnsi"/>
        </w:rPr>
      </w:pPr>
      <w:r w:rsidRPr="0072723A">
        <w:rPr>
          <w:rFonts w:cstheme="minorHAnsi"/>
        </w:rPr>
        <w:lastRenderedPageBreak/>
        <w:t>Desde la apertura del mercado de seguros en 2008 hasta el 2022, los ingresos por primas totales aumentaron en un 202,6%, mientras que el crecimiento del primaje de los seguros voluntarios fue de 251,0%, es decir que en cuestión de 14 años las primas de los seguros voluntarios crecieron dos veces y medio el monto inicial.</w:t>
      </w:r>
    </w:p>
    <w:p w14:paraId="5CA76703" w14:textId="77777777" w:rsidR="0099407F" w:rsidRPr="00FB7E5E" w:rsidRDefault="0099407F" w:rsidP="0099407F">
      <w:pPr>
        <w:spacing w:after="0" w:line="240" w:lineRule="auto"/>
        <w:jc w:val="both"/>
        <w:rPr>
          <w:rFonts w:cstheme="minorHAnsi"/>
          <w:sz w:val="24"/>
          <w:szCs w:val="24"/>
          <w:highlight w:val="yellow"/>
        </w:rPr>
      </w:pPr>
    </w:p>
    <w:p w14:paraId="1D27D202"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6</w:t>
      </w:r>
    </w:p>
    <w:p w14:paraId="1BB04A21"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Tasas interanuales de variación de primas totales y de seguros voluntarios, 2009-2022</w:t>
      </w:r>
    </w:p>
    <w:p w14:paraId="55189EB1"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(porcentajes)</w:t>
      </w:r>
    </w:p>
    <w:p w14:paraId="2C8CC9D0"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noProof/>
        </w:rPr>
        <w:drawing>
          <wp:inline distT="0" distB="0" distL="0" distR="0" wp14:anchorId="49212E4D" wp14:editId="4B047275">
            <wp:extent cx="5797108" cy="2671445"/>
            <wp:effectExtent l="0" t="0" r="0" b="0"/>
            <wp:docPr id="18472577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811321" cy="2677995"/>
                    </a:xfrm>
                    <a:prstGeom prst="rect">
                      <a:avLst/>
                    </a:prstGeom>
                  </pic:spPr>
                </pic:pic>
              </a:graphicData>
            </a:graphic>
          </wp:inline>
        </w:drawing>
      </w:r>
      <w:r w:rsidRPr="00FB7E5E">
        <w:rPr>
          <w:rFonts w:cstheme="minorHAnsi"/>
          <w:color w:val="595959" w:themeColor="text1" w:themeTint="A6"/>
          <w:sz w:val="20"/>
          <w:szCs w:val="20"/>
        </w:rPr>
        <w:t xml:space="preserve"> Fuente: Superintendencia General de Seguros (Sugese)</w:t>
      </w:r>
    </w:p>
    <w:p w14:paraId="3026FE6A" w14:textId="77777777" w:rsidR="0099407F" w:rsidRPr="00FB7E5E" w:rsidRDefault="0099407F" w:rsidP="0099407F">
      <w:pPr>
        <w:spacing w:line="240" w:lineRule="auto"/>
        <w:rPr>
          <w:rFonts w:cstheme="minorHAnsi"/>
          <w:sz w:val="24"/>
          <w:szCs w:val="24"/>
          <w:highlight w:val="yellow"/>
        </w:rPr>
      </w:pPr>
    </w:p>
    <w:p w14:paraId="62FAF7C8"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7</w:t>
      </w:r>
    </w:p>
    <w:p w14:paraId="5100943D"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Costa Rica: Ingresos por primas totales y de seguros voluntarios, 2008-2022</w:t>
      </w:r>
    </w:p>
    <w:p w14:paraId="1E43C72C"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(millones de colones corrientes)</w:t>
      </w:r>
    </w:p>
    <w:p w14:paraId="293CA2C0"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noProof/>
        </w:rPr>
        <w:drawing>
          <wp:inline distT="0" distB="0" distL="0" distR="0" wp14:anchorId="4FFED83D" wp14:editId="6A9AB977">
            <wp:extent cx="5881458" cy="2560320"/>
            <wp:effectExtent l="0" t="0" r="5080" b="0"/>
            <wp:docPr id="1548398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896352" cy="2566804"/>
                    </a:xfrm>
                    <a:prstGeom prst="rect">
                      <a:avLst/>
                    </a:prstGeom>
                  </pic:spPr>
                </pic:pic>
              </a:graphicData>
            </a:graphic>
          </wp:inline>
        </w:drawing>
      </w:r>
      <w:r w:rsidRPr="00FB7E5E">
        <w:rPr>
          <w:rFonts w:cstheme="minorHAnsi"/>
          <w:color w:val="595959" w:themeColor="text1" w:themeTint="A6"/>
          <w:sz w:val="20"/>
          <w:szCs w:val="20"/>
        </w:rPr>
        <w:t xml:space="preserve"> Fuente: Superintendencia General de Seguros (Sugese)</w:t>
      </w:r>
    </w:p>
    <w:p w14:paraId="163C6955" w14:textId="2E5C601F" w:rsidR="0099407F" w:rsidRPr="0072723A" w:rsidRDefault="0099407F" w:rsidP="0099407F">
      <w:pPr>
        <w:spacing w:after="0" w:line="240" w:lineRule="auto"/>
        <w:jc w:val="both"/>
        <w:rPr>
          <w:rFonts w:cstheme="minorHAnsi"/>
        </w:rPr>
      </w:pPr>
      <w:r w:rsidRPr="0072723A">
        <w:rPr>
          <w:rFonts w:cstheme="minorHAnsi"/>
        </w:rPr>
        <w:lastRenderedPageBreak/>
        <w:t>El ritmo de crecimiento promedio anual de las primas, desde la apertura, se situó en 8,5% de manera global y 9,6% para los seguros voluntarios. A partir de 2018 se ha observado una desaceleración, que en el 2020 se vio exacerbada por el impacto de la pandemia de la Covid-19, mientras que en el 2021 y 2022 se nota una clara recuperación en el ritmo de crecimiento, con una aceleración 6,1% de las primas totales y 3,9% de las primas obligatorias. El año cuando se observó el mayor aumento fue el 2012, con un incremento interanual de 16,2%. El único año de este intervalo en el que hubo un decrecimiento fue el 2015, lo cual obedeció a ajustes contables en las estadísticas del Instituto Nacional de Seguros (INS).</w:t>
      </w:r>
    </w:p>
    <w:p w14:paraId="26A1A398" w14:textId="77777777" w:rsidR="0099407F" w:rsidRPr="00FB7E5E" w:rsidRDefault="0099407F" w:rsidP="0099407F">
      <w:pPr>
        <w:spacing w:line="240" w:lineRule="auto"/>
        <w:jc w:val="center"/>
        <w:rPr>
          <w:rFonts w:cstheme="minorHAnsi"/>
          <w:sz w:val="24"/>
          <w:szCs w:val="24"/>
        </w:rPr>
      </w:pPr>
    </w:p>
    <w:p w14:paraId="220DBD29" w14:textId="058F6DC6" w:rsidR="0099407F" w:rsidRPr="0059488F" w:rsidRDefault="0099407F" w:rsidP="0059488F">
      <w:pPr>
        <w:pStyle w:val="Prrafodelista"/>
        <w:numPr>
          <w:ilvl w:val="0"/>
          <w:numId w:val="48"/>
        </w:numPr>
        <w:spacing w:after="0" w:line="240" w:lineRule="auto"/>
        <w:jc w:val="both"/>
        <w:outlineLvl w:val="0"/>
        <w:rPr>
          <w:rFonts w:cstheme="minorHAnsi"/>
          <w:b/>
          <w:bCs/>
          <w:sz w:val="24"/>
          <w:szCs w:val="24"/>
        </w:rPr>
      </w:pPr>
      <w:r w:rsidRPr="0059488F">
        <w:rPr>
          <w:rFonts w:cstheme="minorHAnsi"/>
          <w:b/>
          <w:bCs/>
          <w:sz w:val="24"/>
          <w:szCs w:val="24"/>
        </w:rPr>
        <w:t xml:space="preserve">Estructura del mercado </w:t>
      </w:r>
    </w:p>
    <w:p w14:paraId="041E978E" w14:textId="77777777" w:rsidR="0099407F" w:rsidRPr="00FB7E5E" w:rsidRDefault="0099407F" w:rsidP="0099407F">
      <w:pPr>
        <w:spacing w:after="0" w:line="240" w:lineRule="auto"/>
        <w:jc w:val="both"/>
        <w:rPr>
          <w:rFonts w:cstheme="minorHAnsi"/>
          <w:sz w:val="24"/>
          <w:szCs w:val="24"/>
          <w:highlight w:val="green"/>
        </w:rPr>
      </w:pPr>
    </w:p>
    <w:p w14:paraId="24A8C4E8" w14:textId="77777777" w:rsidR="0099407F" w:rsidRPr="0072723A" w:rsidRDefault="0099407F" w:rsidP="0099407F">
      <w:pPr>
        <w:spacing w:line="240" w:lineRule="auto"/>
        <w:jc w:val="both"/>
        <w:rPr>
          <w:rFonts w:cstheme="minorHAnsi"/>
        </w:rPr>
      </w:pPr>
      <w:r w:rsidRPr="0072723A">
        <w:rPr>
          <w:rFonts w:cstheme="minorHAnsi"/>
        </w:rPr>
        <w:t>En el 2022 se observó una recomposición en la estructura de mercado con respecto al año anterior. Por un lado, en abril de ese año, la sucursal de la aseguradora Triple-S cesó operaciones en el país, por lo que las sumas de primas para esta compañía representan lo acumulado en el primer cuatrimestre de 2022</w:t>
      </w:r>
      <w:r w:rsidRPr="0072723A">
        <w:rPr>
          <w:rFonts w:cstheme="minorHAnsi"/>
          <w:color w:val="000000" w:themeColor="text1"/>
          <w:vertAlign w:val="superscript"/>
        </w:rPr>
        <w:footnoteReference w:id="2"/>
      </w:r>
      <w:r w:rsidRPr="0072723A">
        <w:rPr>
          <w:rFonts w:cstheme="minorHAnsi"/>
        </w:rPr>
        <w:t>. Por otro lado, tres aseguradoras disminuyeron su participación de mercado en el periodo, una de ellas se mantuvo igual y, por consiguiente, las otras ocho aseguradoras restantes presentaron ganancias en su cuota relativa. Por su parte, en el total de los seguros voluntarios, tres aseguradoras disminuyeron su participación en relación con el 2021, ocho más presentaron ganancias en su cuota de mercado y la restante permaneció igual.</w:t>
      </w:r>
    </w:p>
    <w:p w14:paraId="7996B319"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Cuadro 3</w:t>
      </w:r>
    </w:p>
    <w:p w14:paraId="57E342E7" w14:textId="77777777" w:rsidR="00F00CB2" w:rsidRDefault="0099407F" w:rsidP="0099407F">
      <w:pPr>
        <w:spacing w:after="0" w:line="240" w:lineRule="auto"/>
        <w:rPr>
          <w:rFonts w:cstheme="minorHAnsi"/>
          <w:b/>
          <w:bCs/>
          <w:sz w:val="24"/>
          <w:szCs w:val="24"/>
        </w:rPr>
      </w:pPr>
      <w:r w:rsidRPr="00FB7E5E">
        <w:rPr>
          <w:rFonts w:cstheme="minorHAnsi"/>
          <w:b/>
          <w:bCs/>
          <w:sz w:val="24"/>
          <w:szCs w:val="24"/>
        </w:rPr>
        <w:t xml:space="preserve">Distribución relativa de las primas totales y de seguros voluntarios, según aseguradora, </w:t>
      </w:r>
    </w:p>
    <w:p w14:paraId="752BE58A" w14:textId="70751CEA" w:rsidR="00C54761" w:rsidRDefault="0099407F" w:rsidP="0099407F">
      <w:pPr>
        <w:spacing w:after="0" w:line="240" w:lineRule="auto"/>
        <w:rPr>
          <w:rFonts w:cstheme="minorHAnsi"/>
          <w:b/>
          <w:bCs/>
          <w:sz w:val="24"/>
          <w:szCs w:val="24"/>
        </w:rPr>
      </w:pPr>
      <w:r w:rsidRPr="00FB7E5E">
        <w:rPr>
          <w:rFonts w:cstheme="minorHAnsi"/>
          <w:b/>
          <w:bCs/>
          <w:sz w:val="24"/>
          <w:szCs w:val="24"/>
        </w:rPr>
        <w:t>2020-2022</w:t>
      </w:r>
      <w:r w:rsidR="00A76A7D">
        <w:rPr>
          <w:rFonts w:cstheme="minorHAnsi"/>
          <w:b/>
          <w:bCs/>
          <w:sz w:val="24"/>
          <w:szCs w:val="24"/>
        </w:rPr>
        <w:t xml:space="preserve">  </w:t>
      </w:r>
    </w:p>
    <w:p w14:paraId="586ADA42" w14:textId="1E386949" w:rsidR="0099407F" w:rsidRPr="00FB7E5E" w:rsidRDefault="0099407F" w:rsidP="0099407F">
      <w:pPr>
        <w:spacing w:after="0" w:line="240" w:lineRule="auto"/>
        <w:rPr>
          <w:rFonts w:cstheme="minorHAnsi"/>
          <w:sz w:val="20"/>
          <w:szCs w:val="20"/>
        </w:rPr>
      </w:pPr>
      <w:r w:rsidRPr="00FB7E5E">
        <w:rPr>
          <w:rFonts w:cstheme="minorHAnsi"/>
          <w:sz w:val="20"/>
          <w:szCs w:val="20"/>
        </w:rPr>
        <w:t>(porcentajes)</w:t>
      </w:r>
    </w:p>
    <w:p w14:paraId="1644083F" w14:textId="77777777" w:rsidR="0099407F" w:rsidRPr="00FB7E5E" w:rsidRDefault="0099407F" w:rsidP="0099407F">
      <w:pPr>
        <w:spacing w:after="0" w:line="240" w:lineRule="auto"/>
        <w:jc w:val="center"/>
        <w:rPr>
          <w:rFonts w:cstheme="minorHAnsi"/>
          <w:sz w:val="20"/>
        </w:rPr>
      </w:pPr>
      <w:r w:rsidRPr="00FB7E5E">
        <w:rPr>
          <w:rFonts w:cstheme="minorHAnsi"/>
          <w:noProof/>
        </w:rPr>
        <w:drawing>
          <wp:inline distT="0" distB="0" distL="0" distR="0" wp14:anchorId="5495356B" wp14:editId="7B2F2AC0">
            <wp:extent cx="5961380" cy="2262249"/>
            <wp:effectExtent l="0" t="0" r="127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381" cy="2275531"/>
                    </a:xfrm>
                    <a:prstGeom prst="rect">
                      <a:avLst/>
                    </a:prstGeom>
                    <a:noFill/>
                    <a:ln>
                      <a:noFill/>
                    </a:ln>
                  </pic:spPr>
                </pic:pic>
              </a:graphicData>
            </a:graphic>
          </wp:inline>
        </w:drawing>
      </w:r>
    </w:p>
    <w:p w14:paraId="4AFD0C70"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271CFD91" w14:textId="77777777" w:rsidR="00C54761" w:rsidRDefault="00C54761">
      <w:pPr>
        <w:rPr>
          <w:rFonts w:cstheme="minorHAnsi"/>
          <w:sz w:val="24"/>
          <w:szCs w:val="24"/>
        </w:rPr>
      </w:pPr>
      <w:r>
        <w:rPr>
          <w:rFonts w:cstheme="minorHAnsi"/>
          <w:sz w:val="24"/>
          <w:szCs w:val="24"/>
        </w:rPr>
        <w:br w:type="page"/>
      </w:r>
    </w:p>
    <w:p w14:paraId="68D2FD53" w14:textId="06ECCFAA" w:rsidR="0099407F" w:rsidRPr="00C54761" w:rsidRDefault="0099407F" w:rsidP="0099407F">
      <w:pPr>
        <w:spacing w:line="240" w:lineRule="auto"/>
        <w:jc w:val="both"/>
        <w:rPr>
          <w:rFonts w:cstheme="minorHAnsi"/>
        </w:rPr>
      </w:pPr>
      <w:r w:rsidRPr="00C54761">
        <w:rPr>
          <w:rFonts w:cstheme="minorHAnsi"/>
        </w:rPr>
        <w:lastRenderedPageBreak/>
        <w:t xml:space="preserve">En el mercado de seguros voluntarios las aseguradoras que ganaron participación porcentual fueron Magisterio, Mapfre, ASSA, Panamerican Life, Davivienda, Quálitas, BMI, y Lafise, los aumentos más importantes fueron los de Mapfre con una ganancia de 1,2 p.p. y ASSA con 0,8 p.p. Por su parte, las mayores bajas en participación fueron la del INS, </w:t>
      </w:r>
      <w:r w:rsidRPr="00472A7B">
        <w:rPr>
          <w:rFonts w:cstheme="minorHAnsi"/>
        </w:rPr>
        <w:t>de 1,</w:t>
      </w:r>
      <w:r w:rsidR="009E04AB">
        <w:rPr>
          <w:rFonts w:cstheme="minorHAnsi"/>
        </w:rPr>
        <w:t>5</w:t>
      </w:r>
      <w:r w:rsidRPr="00472A7B">
        <w:rPr>
          <w:rFonts w:cstheme="minorHAnsi"/>
        </w:rPr>
        <w:t xml:space="preserve"> p.p. y la</w:t>
      </w:r>
      <w:r w:rsidRPr="00C54761">
        <w:rPr>
          <w:rFonts w:cstheme="minorHAnsi"/>
        </w:rPr>
        <w:t xml:space="preserve"> de Sagicor con 1,</w:t>
      </w:r>
      <w:r w:rsidR="009E04AB">
        <w:rPr>
          <w:rFonts w:cstheme="minorHAnsi"/>
        </w:rPr>
        <w:t>1</w:t>
      </w:r>
      <w:r w:rsidRPr="00C54761">
        <w:rPr>
          <w:rFonts w:cstheme="minorHAnsi"/>
        </w:rPr>
        <w:t xml:space="preserve"> p.p. menos que en 2021.</w:t>
      </w:r>
    </w:p>
    <w:p w14:paraId="014D54CA"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8</w:t>
      </w:r>
    </w:p>
    <w:p w14:paraId="0EBA719F"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Composición de las primas totales según aseguradoras, 2021-2022</w:t>
      </w:r>
    </w:p>
    <w:p w14:paraId="21A5A8FF" w14:textId="77777777" w:rsidR="0099407F" w:rsidRPr="00FB7E5E" w:rsidRDefault="0099407F" w:rsidP="0099407F">
      <w:pPr>
        <w:spacing w:after="0" w:line="240" w:lineRule="auto"/>
        <w:rPr>
          <w:rFonts w:cstheme="minorHAnsi"/>
          <w:sz w:val="20"/>
          <w:szCs w:val="20"/>
        </w:rPr>
      </w:pPr>
      <w:r w:rsidRPr="00FB7E5E">
        <w:rPr>
          <w:rFonts w:cstheme="minorHAnsi"/>
          <w:sz w:val="20"/>
          <w:szCs w:val="20"/>
        </w:rPr>
        <w:t>(porcentajes)</w:t>
      </w:r>
    </w:p>
    <w:p w14:paraId="6B510182" w14:textId="77777777" w:rsidR="0099407F" w:rsidRPr="00FB7E5E" w:rsidRDefault="0099407F" w:rsidP="0099407F">
      <w:pPr>
        <w:spacing w:after="0" w:line="240" w:lineRule="auto"/>
        <w:rPr>
          <w:rFonts w:cstheme="minorHAnsi"/>
          <w:szCs w:val="24"/>
          <w:highlight w:val="yellow"/>
        </w:rPr>
      </w:pPr>
      <w:r w:rsidRPr="00FB7E5E">
        <w:rPr>
          <w:rFonts w:cstheme="minorHAnsi"/>
          <w:noProof/>
        </w:rPr>
        <w:drawing>
          <wp:inline distT="0" distB="0" distL="0" distR="0" wp14:anchorId="5B8802A2" wp14:editId="0BD9D680">
            <wp:extent cx="5064295" cy="4002657"/>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6615" cy="4059817"/>
                    </a:xfrm>
                    <a:prstGeom prst="rect">
                      <a:avLst/>
                    </a:prstGeom>
                  </pic:spPr>
                </pic:pic>
              </a:graphicData>
            </a:graphic>
          </wp:inline>
        </w:drawing>
      </w:r>
    </w:p>
    <w:p w14:paraId="1DB3C9A2" w14:textId="77777777" w:rsidR="0099407F" w:rsidRPr="00FB7E5E" w:rsidRDefault="0099407F" w:rsidP="0099407F">
      <w:pPr>
        <w:spacing w:after="0" w:line="240" w:lineRule="auto"/>
        <w:rPr>
          <w:rFonts w:cstheme="minorHAnsi"/>
          <w:szCs w:val="24"/>
          <w:highlight w:val="yellow"/>
        </w:rPr>
      </w:pPr>
    </w:p>
    <w:p w14:paraId="154B0F37" w14:textId="77777777" w:rsidR="0099407F" w:rsidRPr="00FB7E5E" w:rsidRDefault="0099407F" w:rsidP="0099407F">
      <w:pPr>
        <w:spacing w:after="0" w:line="240" w:lineRule="auto"/>
        <w:rPr>
          <w:rFonts w:cstheme="minorHAnsi"/>
          <w:szCs w:val="24"/>
          <w:highlight w:val="yellow"/>
        </w:rPr>
      </w:pPr>
      <w:r w:rsidRPr="00FB7E5E">
        <w:rPr>
          <w:rFonts w:cstheme="minorHAnsi"/>
          <w:noProof/>
        </w:rPr>
        <w:drawing>
          <wp:inline distT="0" distB="0" distL="0" distR="0" wp14:anchorId="3F069137" wp14:editId="6809EF66">
            <wp:extent cx="5715000" cy="718555"/>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7162" cy="751517"/>
                    </a:xfrm>
                    <a:prstGeom prst="rect">
                      <a:avLst/>
                    </a:prstGeom>
                  </pic:spPr>
                </pic:pic>
              </a:graphicData>
            </a:graphic>
          </wp:inline>
        </w:drawing>
      </w:r>
    </w:p>
    <w:p w14:paraId="7B936FC4" w14:textId="77777777" w:rsidR="0099407F" w:rsidRPr="00FB7E5E" w:rsidRDefault="0099407F" w:rsidP="0099407F">
      <w:pPr>
        <w:rPr>
          <w:rFonts w:cstheme="minorHAnsi"/>
          <w:sz w:val="24"/>
          <w:szCs w:val="24"/>
          <w:highlight w:val="yellow"/>
        </w:rPr>
      </w:pPr>
      <w:r w:rsidRPr="00FB7E5E">
        <w:rPr>
          <w:rFonts w:cstheme="minorHAnsi"/>
          <w:color w:val="595959" w:themeColor="text1" w:themeTint="A6"/>
          <w:sz w:val="20"/>
          <w:szCs w:val="20"/>
        </w:rPr>
        <w:t>Fuente: Superintendencia General de Seguros (Sugese)</w:t>
      </w:r>
      <w:r w:rsidRPr="00FB7E5E">
        <w:rPr>
          <w:rFonts w:cstheme="minorHAnsi"/>
          <w:sz w:val="24"/>
          <w:szCs w:val="24"/>
          <w:highlight w:val="yellow"/>
        </w:rPr>
        <w:br w:type="page"/>
      </w:r>
    </w:p>
    <w:p w14:paraId="6233BAA5"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9</w:t>
      </w:r>
    </w:p>
    <w:p w14:paraId="758C434D"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Ingresos por primas de seguros generales por aseguradora, 2021-2022</w:t>
      </w:r>
    </w:p>
    <w:p w14:paraId="20FEC860" w14:textId="77777777" w:rsidR="0099407F" w:rsidRPr="00FB7E5E" w:rsidRDefault="0099407F" w:rsidP="0099407F">
      <w:pPr>
        <w:spacing w:after="0" w:line="240" w:lineRule="auto"/>
        <w:rPr>
          <w:rFonts w:cstheme="minorHAnsi"/>
        </w:rPr>
      </w:pPr>
      <w:r w:rsidRPr="00FB7E5E">
        <w:rPr>
          <w:rFonts w:cstheme="minorHAnsi"/>
          <w:sz w:val="20"/>
          <w:szCs w:val="20"/>
        </w:rPr>
        <w:t>(millones de colones corrientes</w:t>
      </w:r>
      <w:r w:rsidRPr="00FB7E5E">
        <w:rPr>
          <w:rFonts w:cstheme="minorHAnsi"/>
        </w:rPr>
        <w:t>)</w:t>
      </w:r>
    </w:p>
    <w:p w14:paraId="6959D7D3" w14:textId="77777777" w:rsidR="0099407F" w:rsidRPr="00FB7E5E" w:rsidRDefault="0099407F" w:rsidP="0099407F">
      <w:pPr>
        <w:spacing w:after="0" w:line="240" w:lineRule="auto"/>
        <w:rPr>
          <w:rFonts w:cstheme="minorHAnsi"/>
          <w:szCs w:val="24"/>
          <w:highlight w:val="yellow"/>
        </w:rPr>
      </w:pPr>
      <w:r w:rsidRPr="00FB7E5E">
        <w:rPr>
          <w:rFonts w:cstheme="minorHAnsi"/>
          <w:noProof/>
        </w:rPr>
        <w:drawing>
          <wp:anchor distT="0" distB="0" distL="114300" distR="114300" simplePos="0" relativeHeight="251669504" behindDoc="0" locked="0" layoutInCell="1" allowOverlap="1" wp14:anchorId="177A3DB4" wp14:editId="479DF38A">
            <wp:simplePos x="0" y="0"/>
            <wp:positionH relativeFrom="column">
              <wp:posOffset>4261654</wp:posOffset>
            </wp:positionH>
            <wp:positionV relativeFrom="paragraph">
              <wp:posOffset>2136309</wp:posOffset>
            </wp:positionV>
            <wp:extent cx="885061" cy="202996"/>
            <wp:effectExtent l="0" t="0" r="0" b="698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5061" cy="202996"/>
                    </a:xfrm>
                    <a:prstGeom prst="rect">
                      <a:avLst/>
                    </a:prstGeom>
                  </pic:spPr>
                </pic:pic>
              </a:graphicData>
            </a:graphic>
          </wp:anchor>
        </w:drawing>
      </w:r>
      <w:r w:rsidRPr="00FB7E5E">
        <w:rPr>
          <w:rFonts w:cstheme="minorHAnsi"/>
          <w:noProof/>
        </w:rPr>
        <w:drawing>
          <wp:inline distT="0" distB="0" distL="0" distR="0" wp14:anchorId="1194C41C" wp14:editId="4FE61CFD">
            <wp:extent cx="6450135" cy="2882900"/>
            <wp:effectExtent l="0" t="0" r="825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69" t="10457" r="10054" b="7111"/>
                    <a:stretch/>
                  </pic:blipFill>
                  <pic:spPr bwMode="auto">
                    <a:xfrm>
                      <a:off x="0" y="0"/>
                      <a:ext cx="6611320" cy="2954942"/>
                    </a:xfrm>
                    <a:prstGeom prst="rect">
                      <a:avLst/>
                    </a:prstGeom>
                    <a:ln>
                      <a:noFill/>
                    </a:ln>
                    <a:extLst>
                      <a:ext uri="{53640926-AAD7-44D8-BBD7-CCE9431645EC}">
                        <a14:shadowObscured xmlns:a14="http://schemas.microsoft.com/office/drawing/2010/main"/>
                      </a:ext>
                    </a:extLst>
                  </pic:spPr>
                </pic:pic>
              </a:graphicData>
            </a:graphic>
          </wp:inline>
        </w:drawing>
      </w:r>
    </w:p>
    <w:p w14:paraId="36B9A866" w14:textId="77777777" w:rsidR="0099407F" w:rsidRPr="00FB7E5E" w:rsidRDefault="0099407F" w:rsidP="0099407F">
      <w:pPr>
        <w:spacing w:after="0" w:line="240" w:lineRule="auto"/>
        <w:rPr>
          <w:rFonts w:cstheme="minorHAnsi"/>
          <w:szCs w:val="24"/>
          <w:highlight w:val="yellow"/>
        </w:rPr>
      </w:pPr>
    </w:p>
    <w:p w14:paraId="0B7E165E" w14:textId="77777777" w:rsidR="0099407F" w:rsidRPr="00FB7E5E" w:rsidRDefault="0099407F" w:rsidP="0099407F">
      <w:pPr>
        <w:spacing w:after="0" w:line="240" w:lineRule="auto"/>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7F2CC84C" w14:textId="77777777" w:rsidR="0099407F" w:rsidRPr="00FB7E5E" w:rsidRDefault="0099407F" w:rsidP="0099407F">
      <w:pPr>
        <w:spacing w:after="0" w:line="240" w:lineRule="auto"/>
        <w:rPr>
          <w:rFonts w:cstheme="minorHAnsi"/>
          <w:szCs w:val="24"/>
          <w:highlight w:val="yellow"/>
        </w:rPr>
      </w:pPr>
    </w:p>
    <w:p w14:paraId="740CF5A1" w14:textId="77777777" w:rsidR="0099407F" w:rsidRPr="00C54761" w:rsidRDefault="0099407F" w:rsidP="0099407F">
      <w:pPr>
        <w:spacing w:after="0" w:line="240" w:lineRule="auto"/>
        <w:jc w:val="both"/>
        <w:rPr>
          <w:rFonts w:cstheme="minorHAnsi"/>
        </w:rPr>
      </w:pPr>
      <w:r w:rsidRPr="00C54761">
        <w:rPr>
          <w:rFonts w:cstheme="minorHAnsi"/>
        </w:rPr>
        <w:t>Las primas de los seguros voluntarios generales crecieron 11,8%, variación superior a la observada el año anterior. En términos absolutos, el incremento de la categoría, en el 2022, fue de ₡44,9 mil millones en relación con el cierre del 2021.</w:t>
      </w:r>
    </w:p>
    <w:p w14:paraId="30382297" w14:textId="77777777" w:rsidR="0099407F" w:rsidRPr="00C54761" w:rsidRDefault="0099407F" w:rsidP="0099407F">
      <w:pPr>
        <w:spacing w:after="0" w:line="240" w:lineRule="auto"/>
        <w:jc w:val="both"/>
        <w:rPr>
          <w:rFonts w:cstheme="minorHAnsi"/>
          <w:highlight w:val="yellow"/>
        </w:rPr>
      </w:pPr>
    </w:p>
    <w:p w14:paraId="7493D37E" w14:textId="452C6519" w:rsidR="0099407F" w:rsidRPr="00C54761" w:rsidRDefault="0099407F" w:rsidP="0099407F">
      <w:pPr>
        <w:spacing w:after="0" w:line="240" w:lineRule="auto"/>
        <w:jc w:val="both"/>
        <w:rPr>
          <w:rFonts w:cstheme="minorHAnsi"/>
        </w:rPr>
      </w:pPr>
      <w:r w:rsidRPr="00C54761">
        <w:rPr>
          <w:rFonts w:cstheme="minorHAnsi"/>
        </w:rPr>
        <w:t xml:space="preserve">El 66,2% del valor de las primas de los seguros generales colocados en 2022 correspondieron al INS. En segundo lugar, se ubicó ASSA con un 11,6%, mientras que la aseguradora Quálitas ocupó el tercer lugar con un 5,1%. De manera interanual, dos entidades perdieron cuota de participación: el INS 2,0 p.p. y ASSA 0,5 p.p., Adisa y Oceánica permanecieron igual y el resto aumentó su participación, Quálitas </w:t>
      </w:r>
      <w:r w:rsidRPr="00472A7B">
        <w:rPr>
          <w:rFonts w:cstheme="minorHAnsi"/>
        </w:rPr>
        <w:t xml:space="preserve">fue </w:t>
      </w:r>
      <w:r w:rsidR="00472A7B" w:rsidRPr="00472A7B">
        <w:rPr>
          <w:rFonts w:cstheme="minorHAnsi"/>
        </w:rPr>
        <w:t xml:space="preserve">el </w:t>
      </w:r>
      <w:r w:rsidRPr="00472A7B">
        <w:rPr>
          <w:rFonts w:cstheme="minorHAnsi"/>
        </w:rPr>
        <w:t>que</w:t>
      </w:r>
      <w:r w:rsidRPr="00C54761">
        <w:rPr>
          <w:rFonts w:cstheme="minorHAnsi"/>
        </w:rPr>
        <w:t xml:space="preserve"> más ganó cuota de mercado (0,8 p.p.). </w:t>
      </w:r>
    </w:p>
    <w:p w14:paraId="66258467" w14:textId="77777777" w:rsidR="0099407F" w:rsidRPr="00C54761" w:rsidRDefault="0099407F" w:rsidP="0099407F">
      <w:pPr>
        <w:spacing w:after="0" w:line="240" w:lineRule="auto"/>
        <w:jc w:val="both"/>
        <w:rPr>
          <w:rFonts w:cstheme="minorHAnsi"/>
        </w:rPr>
      </w:pPr>
    </w:p>
    <w:p w14:paraId="48555888" w14:textId="77777777" w:rsidR="0099407F" w:rsidRPr="00C54761" w:rsidRDefault="0099407F" w:rsidP="0099407F">
      <w:pPr>
        <w:spacing w:after="0" w:line="240" w:lineRule="auto"/>
        <w:jc w:val="both"/>
        <w:rPr>
          <w:rFonts w:cstheme="minorHAnsi"/>
        </w:rPr>
      </w:pPr>
      <w:r w:rsidRPr="00C54761">
        <w:rPr>
          <w:rFonts w:cstheme="minorHAnsi"/>
        </w:rPr>
        <w:t>En cuanto al crecimiento absoluto de las primas, cabe señalar que todas las aseguradoras que venden productos generales presentaron aumentos. Los aumentos absolutos más grandes fueron del INS, con más de ₡22,2 mil millones, Quálitas con más de ₡5,2 mil millones y Mapfre con ₡4,2 mil millones.</w:t>
      </w:r>
    </w:p>
    <w:p w14:paraId="0D322F94" w14:textId="77777777" w:rsidR="0099407F" w:rsidRPr="00C54761" w:rsidRDefault="0099407F" w:rsidP="0099407F">
      <w:pPr>
        <w:spacing w:after="0" w:line="240" w:lineRule="auto"/>
        <w:jc w:val="both"/>
        <w:rPr>
          <w:rFonts w:cstheme="minorHAnsi"/>
        </w:rPr>
      </w:pPr>
    </w:p>
    <w:p w14:paraId="5957EFE5" w14:textId="77777777" w:rsidR="0099407F" w:rsidRDefault="0099407F" w:rsidP="0099407F">
      <w:pPr>
        <w:spacing w:after="0" w:line="240" w:lineRule="auto"/>
        <w:jc w:val="both"/>
        <w:rPr>
          <w:rFonts w:cstheme="minorHAnsi"/>
        </w:rPr>
      </w:pPr>
      <w:r w:rsidRPr="00C54761">
        <w:rPr>
          <w:rFonts w:cstheme="minorHAnsi"/>
        </w:rPr>
        <w:t>Los ramos de seguros generales con mayor crecimiento fueron el de Pérdidas Pecuniarias, Incendios y líneas aliadas y el de Otros daños a los bienes con ₡17,3 mil millones, ₡11,5 mil millones y ₡10,7 mil millones más, respectivamente; mientras que los ramos con la mayor caída fueron el de Crédito y Caución, con ₡2,9 mil millones y ₡1,3 mil millones menos que en 2021, en ese orden.</w:t>
      </w:r>
    </w:p>
    <w:p w14:paraId="38A63882" w14:textId="77777777" w:rsidR="00C54761" w:rsidRPr="00C54761" w:rsidRDefault="00C54761" w:rsidP="0099407F">
      <w:pPr>
        <w:spacing w:after="0" w:line="240" w:lineRule="auto"/>
        <w:jc w:val="both"/>
        <w:rPr>
          <w:rFonts w:cstheme="minorHAnsi"/>
        </w:rPr>
      </w:pPr>
    </w:p>
    <w:p w14:paraId="1D9B07B3" w14:textId="77777777" w:rsidR="0099407F" w:rsidRPr="00C54761" w:rsidRDefault="0099407F" w:rsidP="0099407F">
      <w:pPr>
        <w:spacing w:after="0" w:line="240" w:lineRule="auto"/>
        <w:jc w:val="both"/>
        <w:rPr>
          <w:rFonts w:cstheme="minorHAnsi"/>
        </w:rPr>
      </w:pPr>
      <w:r w:rsidRPr="00C54761">
        <w:rPr>
          <w:rFonts w:cstheme="minorHAnsi"/>
        </w:rPr>
        <w:t xml:space="preserve">En el ramo con mayor crecimiento absoluto (Pérdidas Pecuniarias) las aseguradoras Adisa, ASSA y Mapfre registraron bajas en el primaje, mientras que Davivienda, Sagicor y el INS registraron incrementos </w:t>
      </w:r>
      <w:r w:rsidRPr="00C54761">
        <w:rPr>
          <w:rFonts w:cstheme="minorHAnsi"/>
        </w:rPr>
        <w:lastRenderedPageBreak/>
        <w:t>considerables, en particular este último que registró en 2022 más del doble de las primas colocadas en ese ramo en 2021, con un crecimiento del 133% y Sagicor cuya variación interanual fue de 72%.</w:t>
      </w:r>
    </w:p>
    <w:p w14:paraId="5F8319E5" w14:textId="77777777" w:rsidR="0099407F" w:rsidRPr="00C54761" w:rsidRDefault="0099407F" w:rsidP="0099407F">
      <w:pPr>
        <w:spacing w:after="0" w:line="240" w:lineRule="auto"/>
        <w:jc w:val="both"/>
        <w:rPr>
          <w:rFonts w:cstheme="minorHAnsi"/>
          <w:highlight w:val="yellow"/>
        </w:rPr>
      </w:pPr>
    </w:p>
    <w:p w14:paraId="4385450D" w14:textId="77777777" w:rsidR="0099407F" w:rsidRPr="00C54761" w:rsidRDefault="0099407F" w:rsidP="0099407F">
      <w:pPr>
        <w:spacing w:after="0" w:line="240" w:lineRule="auto"/>
        <w:jc w:val="both"/>
        <w:rPr>
          <w:rFonts w:cstheme="minorHAnsi"/>
        </w:rPr>
      </w:pPr>
      <w:r w:rsidRPr="00C54761">
        <w:rPr>
          <w:rFonts w:cstheme="minorHAnsi"/>
        </w:rPr>
        <w:t>En el ramo de Otros daños a los bienes, el INS y ASSA representaron el 82% de las primas colocadas en 2022, mientras que el 43% del crecimiento experimentado en este ramo fue aportado por el INS.</w:t>
      </w:r>
    </w:p>
    <w:p w14:paraId="6AB6DBE9" w14:textId="77777777" w:rsidR="0099407F" w:rsidRPr="00C54761" w:rsidRDefault="0099407F" w:rsidP="0099407F">
      <w:pPr>
        <w:spacing w:after="0" w:line="240" w:lineRule="auto"/>
        <w:jc w:val="both"/>
        <w:rPr>
          <w:rFonts w:cstheme="minorHAnsi"/>
        </w:rPr>
      </w:pPr>
    </w:p>
    <w:p w14:paraId="041F71D5" w14:textId="77777777" w:rsidR="0099407F" w:rsidRPr="00C54761" w:rsidRDefault="0099407F" w:rsidP="0099407F">
      <w:pPr>
        <w:spacing w:after="0" w:line="240" w:lineRule="auto"/>
        <w:jc w:val="both"/>
        <w:rPr>
          <w:rFonts w:cstheme="minorHAnsi"/>
        </w:rPr>
      </w:pPr>
      <w:r w:rsidRPr="00C54761">
        <w:rPr>
          <w:rFonts w:cstheme="minorHAnsi"/>
        </w:rPr>
        <w:t>Por su parte, en el ramo de Incendios y líneas aliadas, las ocho aseguradoras que comercializan este tipo de productos aumentaron el monto de las primas registradas en comparación con 2021. El INS fue la entidad con la mayor proporción del primaje de este ramo (68,5%), en segundo lugar, ASSA (15,2%) y en tercer lugar Mapfre (7,0%). Este ramo tuvo un incremento en primas de ₡11,5 mil millones, es decir, una variación del 10,7%, el aporte más grande a este crecimiento lo tuvieron el INS con un 55% y Mapfre con un 21%.</w:t>
      </w:r>
    </w:p>
    <w:p w14:paraId="455EB957" w14:textId="77777777" w:rsidR="0099407F" w:rsidRPr="00C54761" w:rsidRDefault="0099407F" w:rsidP="0099407F">
      <w:pPr>
        <w:spacing w:after="0" w:line="240" w:lineRule="auto"/>
        <w:jc w:val="both"/>
        <w:rPr>
          <w:rFonts w:cstheme="minorHAnsi"/>
        </w:rPr>
      </w:pPr>
    </w:p>
    <w:p w14:paraId="5DF92AF3" w14:textId="77777777" w:rsidR="0099407F" w:rsidRPr="00C54761" w:rsidRDefault="0099407F" w:rsidP="0099407F">
      <w:pPr>
        <w:spacing w:after="0" w:line="240" w:lineRule="auto"/>
        <w:jc w:val="both"/>
        <w:rPr>
          <w:rFonts w:cstheme="minorHAnsi"/>
        </w:rPr>
      </w:pPr>
      <w:r w:rsidRPr="00C54761">
        <w:rPr>
          <w:rFonts w:cstheme="minorHAnsi"/>
        </w:rPr>
        <w:t>Automóviles fue el ramo que más aportó primaje en los ramos generales en 2022, los principales proveedores fueron el INS, que acumuló el 72,8% de las primas del ramo, aunque perdió 4,1p.p. de la cuota de mercado. El segundo lugar fue de Quálitas con 12,3%, que ganó 2,6 p.p. en participación en el ramo en el periodo. Adicionalmente, la aseguradora Lafise ganó participación (1,1 p.p.), que junto con Quálitas fueron las dos aseguradoras que más crecieron en el primaje de automóviles (₡2,1 mil millones y ₡5,2 mil millones respectivamente).</w:t>
      </w:r>
    </w:p>
    <w:p w14:paraId="3AF19F25" w14:textId="77777777" w:rsidR="0099407F" w:rsidRPr="00C54761" w:rsidRDefault="0099407F" w:rsidP="0099407F">
      <w:pPr>
        <w:spacing w:after="0" w:line="240" w:lineRule="auto"/>
        <w:jc w:val="both"/>
        <w:rPr>
          <w:rFonts w:cstheme="minorHAnsi"/>
        </w:rPr>
      </w:pPr>
    </w:p>
    <w:p w14:paraId="62731360" w14:textId="77777777" w:rsidR="0099407F" w:rsidRPr="00C54761" w:rsidRDefault="0099407F" w:rsidP="0099407F">
      <w:pPr>
        <w:spacing w:after="0" w:line="240" w:lineRule="auto"/>
        <w:jc w:val="both"/>
        <w:rPr>
          <w:rFonts w:cstheme="minorHAnsi"/>
        </w:rPr>
      </w:pPr>
      <w:r w:rsidRPr="00C54761">
        <w:rPr>
          <w:rFonts w:cstheme="minorHAnsi"/>
        </w:rPr>
        <w:t>Los seguros de Caución perdieron un 0,8 p.p. en la participación de los seguros generales, tres de las seis aseguradoras que comercializan este ramo mostraron incrementos, lo cual no fue suficiente para contrarrestar la caída de las otras tres aseguradoras, en particular la baja del INS con ₡2 mil millones menos, por lo que este fue el ramo con el mayor decremento en 2022.</w:t>
      </w:r>
    </w:p>
    <w:p w14:paraId="73BB27E8" w14:textId="77777777" w:rsidR="0099407F" w:rsidRPr="00C54761" w:rsidRDefault="0099407F" w:rsidP="0099407F">
      <w:pPr>
        <w:spacing w:after="0" w:line="240" w:lineRule="auto"/>
        <w:rPr>
          <w:rFonts w:cstheme="minorHAnsi"/>
        </w:rPr>
      </w:pPr>
    </w:p>
    <w:p w14:paraId="6DF6EDE8" w14:textId="77777777" w:rsidR="0099407F" w:rsidRPr="00FB7E5E" w:rsidRDefault="0099407F" w:rsidP="0099407F">
      <w:pPr>
        <w:spacing w:after="0" w:line="240" w:lineRule="auto"/>
        <w:rPr>
          <w:rFonts w:cstheme="minorHAnsi"/>
          <w:sz w:val="24"/>
          <w:szCs w:val="24"/>
        </w:rPr>
      </w:pPr>
    </w:p>
    <w:p w14:paraId="3511DC96" w14:textId="77777777" w:rsidR="0099407F" w:rsidRPr="00FB7E5E" w:rsidRDefault="0099407F" w:rsidP="0099407F">
      <w:pPr>
        <w:spacing w:after="0" w:line="240" w:lineRule="auto"/>
        <w:rPr>
          <w:rFonts w:cstheme="minorHAnsi"/>
          <w:sz w:val="24"/>
          <w:szCs w:val="24"/>
        </w:rPr>
      </w:pPr>
    </w:p>
    <w:p w14:paraId="09483159" w14:textId="77777777" w:rsidR="0099407F" w:rsidRPr="00FB7E5E" w:rsidRDefault="0099407F" w:rsidP="0099407F">
      <w:pPr>
        <w:rPr>
          <w:rFonts w:cstheme="minorHAnsi"/>
          <w:b/>
          <w:sz w:val="24"/>
          <w:szCs w:val="24"/>
          <w:highlight w:val="yellow"/>
        </w:rPr>
      </w:pPr>
      <w:r w:rsidRPr="00FB7E5E">
        <w:rPr>
          <w:rFonts w:cstheme="minorHAnsi"/>
          <w:b/>
          <w:sz w:val="24"/>
          <w:szCs w:val="24"/>
          <w:highlight w:val="yellow"/>
        </w:rPr>
        <w:br w:type="page"/>
      </w:r>
    </w:p>
    <w:p w14:paraId="3199E86B"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10</w:t>
      </w:r>
    </w:p>
    <w:p w14:paraId="7876167A" w14:textId="77777777" w:rsidR="0099407F" w:rsidRPr="00FB7E5E" w:rsidRDefault="0099407F" w:rsidP="0099407F">
      <w:pPr>
        <w:spacing w:after="0" w:line="240" w:lineRule="auto"/>
        <w:rPr>
          <w:rFonts w:cstheme="minorHAnsi"/>
          <w:b/>
          <w:bCs/>
          <w:sz w:val="23"/>
          <w:szCs w:val="23"/>
        </w:rPr>
      </w:pPr>
      <w:r w:rsidRPr="00FB7E5E">
        <w:rPr>
          <w:rFonts w:cstheme="minorHAnsi"/>
          <w:b/>
          <w:bCs/>
          <w:sz w:val="23"/>
          <w:szCs w:val="23"/>
        </w:rPr>
        <w:t>Composición de las primas según aseguradora para seguros generales y algunos ramos 2021-2022</w:t>
      </w:r>
    </w:p>
    <w:p w14:paraId="65493CB4" w14:textId="7A4B25FC" w:rsidR="0099407F" w:rsidRPr="00FB7E5E" w:rsidRDefault="0099407F" w:rsidP="0099407F">
      <w:pPr>
        <w:spacing w:after="0" w:line="240" w:lineRule="auto"/>
        <w:rPr>
          <w:rFonts w:cstheme="minorHAnsi"/>
        </w:rPr>
      </w:pPr>
      <w:r w:rsidRPr="00FB7E5E">
        <w:rPr>
          <w:rFonts w:cstheme="minorHAnsi"/>
        </w:rPr>
        <w:t>(</w:t>
      </w:r>
      <w:r w:rsidR="00F00CB2">
        <w:rPr>
          <w:rFonts w:cstheme="minorHAnsi"/>
        </w:rPr>
        <w:t>p</w:t>
      </w:r>
      <w:r w:rsidRPr="00FB7E5E">
        <w:rPr>
          <w:rFonts w:cstheme="minorHAnsi"/>
        </w:rPr>
        <w:t>orcentajes)</w:t>
      </w:r>
    </w:p>
    <w:p w14:paraId="45AAC54B" w14:textId="77777777" w:rsidR="0099407F" w:rsidRPr="00FB7E5E" w:rsidRDefault="0099407F" w:rsidP="0099407F">
      <w:pPr>
        <w:spacing w:after="0" w:line="240" w:lineRule="auto"/>
        <w:jc w:val="both"/>
        <w:rPr>
          <w:rFonts w:cstheme="minorHAnsi"/>
          <w:sz w:val="24"/>
          <w:szCs w:val="24"/>
          <w:highlight w:val="yellow"/>
        </w:rPr>
      </w:pPr>
      <w:r w:rsidRPr="00FB7E5E">
        <w:rPr>
          <w:rFonts w:cstheme="minorHAnsi"/>
          <w:noProof/>
        </w:rPr>
        <w:drawing>
          <wp:inline distT="0" distB="0" distL="0" distR="0" wp14:anchorId="535DE93B" wp14:editId="54C96110">
            <wp:extent cx="5972810" cy="2104582"/>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81" t="7268" b="1178"/>
                    <a:stretch/>
                  </pic:blipFill>
                  <pic:spPr bwMode="auto">
                    <a:xfrm>
                      <a:off x="0" y="0"/>
                      <a:ext cx="5972810" cy="2104582"/>
                    </a:xfrm>
                    <a:prstGeom prst="rect">
                      <a:avLst/>
                    </a:prstGeom>
                    <a:ln>
                      <a:noFill/>
                    </a:ln>
                    <a:extLst>
                      <a:ext uri="{53640926-AAD7-44D8-BBD7-CCE9431645EC}">
                        <a14:shadowObscured xmlns:a14="http://schemas.microsoft.com/office/drawing/2010/main"/>
                      </a:ext>
                    </a:extLst>
                  </pic:spPr>
                </pic:pic>
              </a:graphicData>
            </a:graphic>
          </wp:inline>
        </w:drawing>
      </w:r>
      <w:r w:rsidRPr="00FB7E5E">
        <w:rPr>
          <w:rFonts w:cstheme="minorHAnsi"/>
          <w:noProof/>
        </w:rPr>
        <w:drawing>
          <wp:inline distT="0" distB="0" distL="0" distR="0" wp14:anchorId="4C9D7A7A" wp14:editId="50708817">
            <wp:extent cx="5972810" cy="2322350"/>
            <wp:effectExtent l="0" t="0" r="889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77"/>
                    <a:stretch/>
                  </pic:blipFill>
                  <pic:spPr bwMode="auto">
                    <a:xfrm>
                      <a:off x="0" y="0"/>
                      <a:ext cx="5972810" cy="2322350"/>
                    </a:xfrm>
                    <a:prstGeom prst="rect">
                      <a:avLst/>
                    </a:prstGeom>
                    <a:ln>
                      <a:noFill/>
                    </a:ln>
                    <a:extLst>
                      <a:ext uri="{53640926-AAD7-44D8-BBD7-CCE9431645EC}">
                        <a14:shadowObscured xmlns:a14="http://schemas.microsoft.com/office/drawing/2010/main"/>
                      </a:ext>
                    </a:extLst>
                  </pic:spPr>
                </pic:pic>
              </a:graphicData>
            </a:graphic>
          </wp:inline>
        </w:drawing>
      </w:r>
      <w:r w:rsidRPr="00FB7E5E">
        <w:rPr>
          <w:rFonts w:cstheme="minorHAnsi"/>
          <w:noProof/>
        </w:rPr>
        <w:drawing>
          <wp:inline distT="0" distB="0" distL="0" distR="0" wp14:anchorId="0821B82B" wp14:editId="10A30CFC">
            <wp:extent cx="5972810" cy="2299629"/>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80" r="1190" b="1770"/>
                    <a:stretch/>
                  </pic:blipFill>
                  <pic:spPr bwMode="auto">
                    <a:xfrm>
                      <a:off x="0" y="0"/>
                      <a:ext cx="5972810" cy="2299629"/>
                    </a:xfrm>
                    <a:prstGeom prst="rect">
                      <a:avLst/>
                    </a:prstGeom>
                    <a:ln>
                      <a:noFill/>
                    </a:ln>
                    <a:extLst>
                      <a:ext uri="{53640926-AAD7-44D8-BBD7-CCE9431645EC}">
                        <a14:shadowObscured xmlns:a14="http://schemas.microsoft.com/office/drawing/2010/main"/>
                      </a:ext>
                    </a:extLst>
                  </pic:spPr>
                </pic:pic>
              </a:graphicData>
            </a:graphic>
          </wp:inline>
        </w:drawing>
      </w:r>
    </w:p>
    <w:p w14:paraId="435FAA68" w14:textId="77777777" w:rsidR="0099407F" w:rsidRPr="00FB7E5E" w:rsidRDefault="0099407F" w:rsidP="0099407F">
      <w:pPr>
        <w:spacing w:after="0" w:line="240" w:lineRule="auto"/>
        <w:jc w:val="both"/>
        <w:rPr>
          <w:rFonts w:cstheme="minorHAnsi"/>
          <w:sz w:val="24"/>
          <w:szCs w:val="24"/>
          <w:highlight w:val="yellow"/>
        </w:rPr>
      </w:pPr>
    </w:p>
    <w:p w14:paraId="481941A8" w14:textId="77777777" w:rsidR="0099407F" w:rsidRPr="00FB7E5E" w:rsidRDefault="0099407F" w:rsidP="0099407F">
      <w:pPr>
        <w:spacing w:after="0" w:line="240" w:lineRule="auto"/>
        <w:jc w:val="both"/>
        <w:rPr>
          <w:rFonts w:cstheme="minorHAnsi"/>
          <w:sz w:val="24"/>
          <w:szCs w:val="24"/>
          <w:highlight w:val="yellow"/>
        </w:rPr>
      </w:pPr>
    </w:p>
    <w:p w14:paraId="0BF896C3" w14:textId="77777777" w:rsidR="0099407F" w:rsidRPr="00FB7E5E" w:rsidRDefault="0099407F" w:rsidP="0099407F">
      <w:pPr>
        <w:spacing w:after="0" w:line="240" w:lineRule="auto"/>
        <w:rPr>
          <w:rFonts w:cstheme="minorHAnsi"/>
          <w:b/>
          <w:bCs/>
          <w:sz w:val="24"/>
          <w:szCs w:val="24"/>
          <w:highlight w:val="yellow"/>
        </w:rPr>
      </w:pPr>
      <w:r w:rsidRPr="00FB7E5E">
        <w:rPr>
          <w:rFonts w:cstheme="minorHAnsi"/>
          <w:color w:val="595959" w:themeColor="text1" w:themeTint="A6"/>
          <w:sz w:val="20"/>
          <w:szCs w:val="20"/>
        </w:rPr>
        <w:t>Fuente: Superintendencia General de Seguros (Sugese)</w:t>
      </w:r>
    </w:p>
    <w:p w14:paraId="5ABC6A50"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11</w:t>
      </w:r>
    </w:p>
    <w:p w14:paraId="0947771A"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Ingresos por primas de seguros personales por aseguradora, 2021-2022</w:t>
      </w:r>
    </w:p>
    <w:p w14:paraId="15B0D379" w14:textId="20DD4FEA" w:rsidR="0099407F" w:rsidRPr="00FB7E5E" w:rsidRDefault="0099407F" w:rsidP="0099407F">
      <w:pPr>
        <w:spacing w:after="0" w:line="240" w:lineRule="auto"/>
        <w:rPr>
          <w:rFonts w:cstheme="minorHAnsi"/>
          <w:sz w:val="20"/>
          <w:szCs w:val="20"/>
        </w:rPr>
      </w:pPr>
      <w:r w:rsidRPr="00FB7E5E">
        <w:rPr>
          <w:rFonts w:cstheme="minorHAnsi"/>
          <w:sz w:val="20"/>
          <w:szCs w:val="20"/>
        </w:rPr>
        <w:t>(</w:t>
      </w:r>
      <w:r w:rsidR="00F00CB2">
        <w:rPr>
          <w:rFonts w:cstheme="minorHAnsi"/>
          <w:sz w:val="20"/>
          <w:szCs w:val="20"/>
        </w:rPr>
        <w:t>m</w:t>
      </w:r>
      <w:r w:rsidRPr="00FB7E5E">
        <w:rPr>
          <w:rFonts w:cstheme="minorHAnsi"/>
          <w:sz w:val="20"/>
          <w:szCs w:val="20"/>
        </w:rPr>
        <w:t>illones de colones corrientes)</w:t>
      </w:r>
    </w:p>
    <w:p w14:paraId="3BAD972F" w14:textId="77777777" w:rsidR="0099407F" w:rsidRPr="00FB7E5E" w:rsidRDefault="0099407F" w:rsidP="0099407F">
      <w:pPr>
        <w:spacing w:after="0" w:line="240" w:lineRule="auto"/>
        <w:jc w:val="center"/>
        <w:rPr>
          <w:rFonts w:cstheme="minorHAnsi"/>
          <w:b/>
          <w:bCs/>
          <w:szCs w:val="24"/>
          <w:highlight w:val="yellow"/>
        </w:rPr>
      </w:pPr>
      <w:r w:rsidRPr="00FB7E5E">
        <w:rPr>
          <w:rFonts w:cstheme="minorHAnsi"/>
          <w:noProof/>
        </w:rPr>
        <w:drawing>
          <wp:inline distT="0" distB="0" distL="0" distR="0" wp14:anchorId="5A35DE56" wp14:editId="5F9F6B52">
            <wp:extent cx="721850" cy="190568"/>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6406" cy="191771"/>
                    </a:xfrm>
                    <a:prstGeom prst="rect">
                      <a:avLst/>
                    </a:prstGeom>
                  </pic:spPr>
                </pic:pic>
              </a:graphicData>
            </a:graphic>
          </wp:inline>
        </w:drawing>
      </w:r>
      <w:r w:rsidRPr="00FB7E5E">
        <w:rPr>
          <w:rFonts w:cstheme="minorHAnsi"/>
          <w:noProof/>
        </w:rPr>
        <w:drawing>
          <wp:inline distT="0" distB="0" distL="0" distR="0" wp14:anchorId="01E52014" wp14:editId="4E0C5956">
            <wp:extent cx="6592888" cy="2453833"/>
            <wp:effectExtent l="0" t="0" r="0" b="381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85"/>
                    <a:stretch/>
                  </pic:blipFill>
                  <pic:spPr bwMode="auto">
                    <a:xfrm>
                      <a:off x="0" y="0"/>
                      <a:ext cx="6610195" cy="2460275"/>
                    </a:xfrm>
                    <a:prstGeom prst="rect">
                      <a:avLst/>
                    </a:prstGeom>
                    <a:ln>
                      <a:noFill/>
                    </a:ln>
                    <a:extLst>
                      <a:ext uri="{53640926-AAD7-44D8-BBD7-CCE9431645EC}">
                        <a14:shadowObscured xmlns:a14="http://schemas.microsoft.com/office/drawing/2010/main"/>
                      </a:ext>
                    </a:extLst>
                  </pic:spPr>
                </pic:pic>
              </a:graphicData>
            </a:graphic>
          </wp:inline>
        </w:drawing>
      </w:r>
    </w:p>
    <w:p w14:paraId="0D8DB1D5" w14:textId="77777777" w:rsidR="0099407F" w:rsidRPr="00FB7E5E" w:rsidRDefault="0099407F" w:rsidP="0099407F">
      <w:pPr>
        <w:spacing w:after="0" w:line="240" w:lineRule="auto"/>
        <w:jc w:val="center"/>
        <w:rPr>
          <w:rFonts w:cstheme="minorHAnsi"/>
          <w:b/>
          <w:bCs/>
          <w:szCs w:val="24"/>
          <w:highlight w:val="yellow"/>
        </w:rPr>
      </w:pPr>
    </w:p>
    <w:p w14:paraId="0FEBDDFF" w14:textId="77777777" w:rsidR="0099407F" w:rsidRPr="00FB7E5E" w:rsidRDefault="0099407F" w:rsidP="0099407F">
      <w:pPr>
        <w:spacing w:after="0" w:line="240" w:lineRule="auto"/>
        <w:jc w:val="both"/>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66B03A27" w14:textId="77777777" w:rsidR="0099407F" w:rsidRPr="00FB7E5E" w:rsidRDefault="0099407F" w:rsidP="0099407F">
      <w:pPr>
        <w:spacing w:after="0" w:line="240" w:lineRule="auto"/>
        <w:jc w:val="both"/>
        <w:rPr>
          <w:rFonts w:cstheme="minorHAnsi"/>
          <w:sz w:val="24"/>
          <w:szCs w:val="24"/>
          <w:highlight w:val="yellow"/>
        </w:rPr>
      </w:pPr>
    </w:p>
    <w:p w14:paraId="11B3E50E" w14:textId="77777777" w:rsidR="0099407F" w:rsidRPr="00C54761" w:rsidRDefault="0099407F" w:rsidP="0099407F">
      <w:pPr>
        <w:spacing w:after="0" w:line="240" w:lineRule="auto"/>
        <w:jc w:val="both"/>
        <w:rPr>
          <w:rFonts w:cstheme="minorHAnsi"/>
        </w:rPr>
      </w:pPr>
      <w:r w:rsidRPr="00C54761">
        <w:rPr>
          <w:rFonts w:cstheme="minorHAnsi"/>
        </w:rPr>
        <w:t>Las primas de la categoría de seguros personales aumentaron en forma interanual 14,0%, equivalentes en absolutos a ₡44,6 mil millones, resultado del crecimiento en los tres ramos que conforman esta categoría. En particular, el ramo de Vida presentó el mayor aumento con ₡</w:t>
      </w:r>
      <w:r w:rsidRPr="00C54761">
        <w:rPr>
          <w:rFonts w:cstheme="minorHAnsi"/>
          <w:color w:val="000000" w:themeColor="text1"/>
          <w:lang w:val="es-ES"/>
        </w:rPr>
        <w:t>40</w:t>
      </w:r>
      <w:r w:rsidRPr="00C54761">
        <w:rPr>
          <w:rFonts w:cstheme="minorHAnsi"/>
        </w:rPr>
        <w:t xml:space="preserve">,9 mil millones, seguido por el ramo de Salud con ₡3,6 mil millones y Accidentes con ₡68 millones. </w:t>
      </w:r>
    </w:p>
    <w:p w14:paraId="3D66F95E" w14:textId="77777777" w:rsidR="0099407F" w:rsidRPr="00C54761" w:rsidRDefault="0099407F" w:rsidP="0099407F">
      <w:pPr>
        <w:spacing w:after="0" w:line="240" w:lineRule="auto"/>
        <w:jc w:val="both"/>
        <w:rPr>
          <w:rFonts w:cstheme="minorHAnsi"/>
          <w:highlight w:val="yellow"/>
        </w:rPr>
      </w:pPr>
    </w:p>
    <w:p w14:paraId="3279563A" w14:textId="77777777" w:rsidR="0099407F" w:rsidRPr="00C54761" w:rsidRDefault="0099407F" w:rsidP="0099407F">
      <w:pPr>
        <w:spacing w:after="0" w:line="240" w:lineRule="auto"/>
        <w:jc w:val="both"/>
        <w:rPr>
          <w:rFonts w:cstheme="minorHAnsi"/>
        </w:rPr>
      </w:pPr>
      <w:r w:rsidRPr="00C54761">
        <w:rPr>
          <w:rFonts w:cstheme="minorHAnsi"/>
        </w:rPr>
        <w:t>En términos absolutos, en 2022, la aseguradora con mayor incremento en la categoría de personales fue el INS, que colocó ₡16,3 mil millones más que en 2021, sin embargo, perdió 0,5 p.p. de su cuota de mercado. En el segundo y tercer lugar de crecimiento en el periodo, se ubicaron Pan American y ASSA, cuyas primas aumentaron ₡12,3 mil millones y ₡11,6 mil millones en ese orden, y ambas entidades ganaron participación de mercado, en 0,9 p.p. y 2,3 p.p. respectivamente.</w:t>
      </w:r>
    </w:p>
    <w:p w14:paraId="73EDC90E" w14:textId="77777777" w:rsidR="0099407F" w:rsidRPr="00C54761" w:rsidRDefault="0099407F" w:rsidP="0099407F">
      <w:pPr>
        <w:spacing w:after="0" w:line="240" w:lineRule="auto"/>
        <w:jc w:val="both"/>
        <w:rPr>
          <w:rFonts w:cstheme="minorHAnsi"/>
        </w:rPr>
      </w:pPr>
    </w:p>
    <w:p w14:paraId="04472410" w14:textId="77777777" w:rsidR="0099407F" w:rsidRPr="00C54761" w:rsidRDefault="0099407F" w:rsidP="0099407F">
      <w:pPr>
        <w:spacing w:after="0" w:line="240" w:lineRule="auto"/>
        <w:jc w:val="both"/>
        <w:rPr>
          <w:rFonts w:cstheme="minorHAnsi"/>
          <w:highlight w:val="yellow"/>
        </w:rPr>
      </w:pPr>
      <w:r w:rsidRPr="00C54761">
        <w:rPr>
          <w:rFonts w:cstheme="minorHAnsi"/>
        </w:rPr>
        <w:t xml:space="preserve">Vida fue el ramo de los voluntarios con mayores ingresos por primas para este periodo, con más de </w:t>
      </w:r>
      <w:r w:rsidRPr="00C54761">
        <w:rPr>
          <w:rFonts w:cstheme="minorHAnsi"/>
          <w:color w:val="000000" w:themeColor="text1"/>
        </w:rPr>
        <w:t>₡</w:t>
      </w:r>
      <w:r w:rsidRPr="00C54761">
        <w:rPr>
          <w:rFonts w:cstheme="minorHAnsi"/>
          <w:color w:val="000000" w:themeColor="text1"/>
          <w:lang w:val="es-ES"/>
        </w:rPr>
        <w:t>188,7</w:t>
      </w:r>
      <w:r w:rsidRPr="00C54761">
        <w:rPr>
          <w:rFonts w:cstheme="minorHAnsi"/>
        </w:rPr>
        <w:t xml:space="preserve"> mil millones, además fue el ramo con el mayor crecimiento absoluto, lo que repercutió en una ganancia de su participación relativa en 5,6 p.p. En el periodo, las aseguradoras con mayor incremento de primaje en el ramo de Vida fueron INS (₡ 16,7 mil millones) y Mapfre (₡ 8,3 mil millones), mientras que en el ramo de Salud los mayores aumentos los presentaron Pan American Life con ₡ 9,9 mil millones y ASSA con ₡ 9,4 mil millones adicionales.</w:t>
      </w:r>
      <w:r w:rsidRPr="00C54761">
        <w:rPr>
          <w:rFonts w:cstheme="minorHAnsi"/>
          <w:highlight w:val="yellow"/>
        </w:rPr>
        <w:br w:type="page"/>
      </w:r>
    </w:p>
    <w:p w14:paraId="383F2499"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12</w:t>
      </w:r>
    </w:p>
    <w:p w14:paraId="696BD08E" w14:textId="77777777" w:rsidR="0099407F" w:rsidRPr="00F00CB2" w:rsidRDefault="0099407F" w:rsidP="0099407F">
      <w:pPr>
        <w:spacing w:after="0" w:line="240" w:lineRule="auto"/>
        <w:rPr>
          <w:rFonts w:cstheme="minorHAnsi"/>
          <w:b/>
          <w:bCs/>
          <w:sz w:val="23"/>
          <w:szCs w:val="23"/>
        </w:rPr>
      </w:pPr>
      <w:r w:rsidRPr="00F00CB2">
        <w:rPr>
          <w:rFonts w:cstheme="minorHAnsi"/>
          <w:b/>
          <w:bCs/>
          <w:sz w:val="23"/>
          <w:szCs w:val="23"/>
        </w:rPr>
        <w:t>Composición de primas por aseguradora, para seguros personales y algunos ramos, 2021-2022</w:t>
      </w:r>
    </w:p>
    <w:p w14:paraId="682CC2A8" w14:textId="77777777" w:rsidR="0099407F" w:rsidRPr="00F00CB2" w:rsidRDefault="0099407F" w:rsidP="0099407F">
      <w:pPr>
        <w:spacing w:after="0" w:line="240" w:lineRule="auto"/>
        <w:rPr>
          <w:rFonts w:cstheme="minorHAnsi"/>
          <w:sz w:val="20"/>
          <w:szCs w:val="20"/>
        </w:rPr>
      </w:pPr>
      <w:r w:rsidRPr="00F00CB2">
        <w:rPr>
          <w:rFonts w:cstheme="minorHAnsi"/>
          <w:sz w:val="20"/>
          <w:szCs w:val="20"/>
        </w:rPr>
        <w:t>(porcentajes)</w:t>
      </w:r>
    </w:p>
    <w:p w14:paraId="18349687" w14:textId="77777777" w:rsidR="0099407F" w:rsidRPr="00FB7E5E" w:rsidRDefault="0099407F" w:rsidP="0099407F">
      <w:pPr>
        <w:spacing w:after="0" w:line="240" w:lineRule="auto"/>
        <w:rPr>
          <w:rFonts w:cstheme="minorHAnsi"/>
          <w:szCs w:val="24"/>
          <w:highlight w:val="yellow"/>
        </w:rPr>
      </w:pPr>
      <w:r w:rsidRPr="00FB7E5E">
        <w:rPr>
          <w:rFonts w:cstheme="minorHAnsi"/>
          <w:noProof/>
        </w:rPr>
        <w:drawing>
          <wp:inline distT="0" distB="0" distL="0" distR="0" wp14:anchorId="4ACC0951" wp14:editId="108E4770">
            <wp:extent cx="5592274" cy="2109066"/>
            <wp:effectExtent l="0" t="0" r="8890" b="571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43" t="5165" r="1135" b="2165"/>
                    <a:stretch/>
                  </pic:blipFill>
                  <pic:spPr bwMode="auto">
                    <a:xfrm>
                      <a:off x="0" y="0"/>
                      <a:ext cx="5650521" cy="2131033"/>
                    </a:xfrm>
                    <a:prstGeom prst="rect">
                      <a:avLst/>
                    </a:prstGeom>
                    <a:ln>
                      <a:noFill/>
                    </a:ln>
                    <a:extLst>
                      <a:ext uri="{53640926-AAD7-44D8-BBD7-CCE9431645EC}">
                        <a14:shadowObscured xmlns:a14="http://schemas.microsoft.com/office/drawing/2010/main"/>
                      </a:ext>
                    </a:extLst>
                  </pic:spPr>
                </pic:pic>
              </a:graphicData>
            </a:graphic>
          </wp:inline>
        </w:drawing>
      </w:r>
    </w:p>
    <w:p w14:paraId="347F774F" w14:textId="77777777" w:rsidR="0099407F" w:rsidRPr="00FB7E5E" w:rsidRDefault="0099407F" w:rsidP="0099407F">
      <w:pPr>
        <w:spacing w:after="0" w:line="240" w:lineRule="auto"/>
        <w:rPr>
          <w:rFonts w:cstheme="minorHAnsi"/>
          <w:szCs w:val="24"/>
          <w:highlight w:val="yellow"/>
        </w:rPr>
      </w:pPr>
      <w:r w:rsidRPr="00FB7E5E">
        <w:rPr>
          <w:rFonts w:cstheme="minorHAnsi"/>
          <w:noProof/>
        </w:rPr>
        <w:drawing>
          <wp:inline distT="0" distB="0" distL="0" distR="0" wp14:anchorId="3D575374" wp14:editId="5A2952B8">
            <wp:extent cx="5615574" cy="2377440"/>
            <wp:effectExtent l="0" t="0" r="4445" b="381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96" r="4545"/>
                    <a:stretch/>
                  </pic:blipFill>
                  <pic:spPr bwMode="auto">
                    <a:xfrm>
                      <a:off x="0" y="0"/>
                      <a:ext cx="5678409" cy="2404042"/>
                    </a:xfrm>
                    <a:prstGeom prst="rect">
                      <a:avLst/>
                    </a:prstGeom>
                    <a:ln>
                      <a:noFill/>
                    </a:ln>
                    <a:extLst>
                      <a:ext uri="{53640926-AAD7-44D8-BBD7-CCE9431645EC}">
                        <a14:shadowObscured xmlns:a14="http://schemas.microsoft.com/office/drawing/2010/main"/>
                      </a:ext>
                    </a:extLst>
                  </pic:spPr>
                </pic:pic>
              </a:graphicData>
            </a:graphic>
          </wp:inline>
        </w:drawing>
      </w:r>
    </w:p>
    <w:p w14:paraId="71FE5F65" w14:textId="0ABA7925" w:rsidR="0099407F" w:rsidRPr="00FB7E5E" w:rsidRDefault="0099407F" w:rsidP="00BB2AF7">
      <w:pPr>
        <w:spacing w:after="0" w:line="240" w:lineRule="auto"/>
        <w:rPr>
          <w:rFonts w:cstheme="minorHAnsi"/>
          <w:szCs w:val="24"/>
          <w:highlight w:val="yellow"/>
        </w:rPr>
      </w:pPr>
      <w:r w:rsidRPr="00FB7E5E">
        <w:rPr>
          <w:rFonts w:cstheme="minorHAnsi"/>
          <w:noProof/>
        </w:rPr>
        <w:drawing>
          <wp:inline distT="0" distB="0" distL="0" distR="0" wp14:anchorId="7E5744EA" wp14:editId="74FBD0AC">
            <wp:extent cx="5972810" cy="2336401"/>
            <wp:effectExtent l="0" t="0" r="8890" b="698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98" t="1301" b="2043"/>
                    <a:stretch/>
                  </pic:blipFill>
                  <pic:spPr bwMode="auto">
                    <a:xfrm>
                      <a:off x="0" y="0"/>
                      <a:ext cx="5972810" cy="2336401"/>
                    </a:xfrm>
                    <a:prstGeom prst="rect">
                      <a:avLst/>
                    </a:prstGeom>
                    <a:ln>
                      <a:noFill/>
                    </a:ln>
                    <a:extLst>
                      <a:ext uri="{53640926-AAD7-44D8-BBD7-CCE9431645EC}">
                        <a14:shadowObscured xmlns:a14="http://schemas.microsoft.com/office/drawing/2010/main"/>
                      </a:ext>
                    </a:extLst>
                  </pic:spPr>
                </pic:pic>
              </a:graphicData>
            </a:graphic>
          </wp:inline>
        </w:drawing>
      </w:r>
    </w:p>
    <w:p w14:paraId="469E8F6A" w14:textId="77777777" w:rsidR="0099407F" w:rsidRPr="00FB7E5E" w:rsidRDefault="0099407F" w:rsidP="0099407F">
      <w:pPr>
        <w:spacing w:after="0" w:line="240" w:lineRule="auto"/>
        <w:rPr>
          <w:rFonts w:cstheme="minorHAnsi"/>
          <w:highlight w:val="yellow"/>
        </w:rPr>
      </w:pPr>
      <w:r w:rsidRPr="00FB7E5E">
        <w:rPr>
          <w:rFonts w:cstheme="minorHAnsi"/>
          <w:color w:val="595959" w:themeColor="text1" w:themeTint="A6"/>
          <w:sz w:val="20"/>
          <w:szCs w:val="20"/>
        </w:rPr>
        <w:t>Fuente: Superintendencia General de Seguros (Sugese)</w:t>
      </w:r>
    </w:p>
    <w:p w14:paraId="29BA8E5D" w14:textId="77777777" w:rsidR="007E2573" w:rsidRDefault="007E2573" w:rsidP="0099407F">
      <w:pPr>
        <w:spacing w:after="0" w:line="240" w:lineRule="auto"/>
        <w:rPr>
          <w:rFonts w:cstheme="minorHAnsi"/>
          <w:b/>
          <w:bCs/>
          <w:sz w:val="24"/>
          <w:szCs w:val="24"/>
        </w:rPr>
      </w:pPr>
    </w:p>
    <w:p w14:paraId="4BF0BABC" w14:textId="54004742"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13</w:t>
      </w:r>
    </w:p>
    <w:p w14:paraId="6D38A758"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Estructura del mercado de seguros 2008-2022</w:t>
      </w:r>
    </w:p>
    <w:p w14:paraId="3178CE22" w14:textId="77777777" w:rsidR="0099407F" w:rsidRPr="007E2573" w:rsidRDefault="0099407F" w:rsidP="0099407F">
      <w:pPr>
        <w:spacing w:after="0" w:line="240" w:lineRule="auto"/>
        <w:rPr>
          <w:rFonts w:cstheme="minorHAnsi"/>
          <w:sz w:val="20"/>
          <w:szCs w:val="20"/>
        </w:rPr>
      </w:pPr>
      <w:r w:rsidRPr="007E2573">
        <w:rPr>
          <w:rFonts w:cstheme="minorHAnsi"/>
          <w:sz w:val="20"/>
          <w:szCs w:val="20"/>
        </w:rPr>
        <w:t>(porcentajes)</w:t>
      </w:r>
    </w:p>
    <w:p w14:paraId="0288CF3D" w14:textId="77777777" w:rsidR="0099407F" w:rsidRPr="00FB7E5E" w:rsidRDefault="0099407F" w:rsidP="0099407F">
      <w:pPr>
        <w:spacing w:after="0" w:line="240" w:lineRule="auto"/>
        <w:rPr>
          <w:rFonts w:cstheme="minorHAnsi"/>
          <w:szCs w:val="24"/>
        </w:rPr>
      </w:pPr>
      <w:r w:rsidRPr="00FB7E5E">
        <w:rPr>
          <w:rFonts w:cstheme="minorHAnsi"/>
          <w:noProof/>
          <w:szCs w:val="24"/>
        </w:rPr>
        <w:drawing>
          <wp:inline distT="0" distB="0" distL="0" distR="0" wp14:anchorId="7B814680" wp14:editId="758CE2DD">
            <wp:extent cx="6164765" cy="254000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7246" cy="2545143"/>
                    </a:xfrm>
                    <a:prstGeom prst="rect">
                      <a:avLst/>
                    </a:prstGeom>
                    <a:noFill/>
                  </pic:spPr>
                </pic:pic>
              </a:graphicData>
            </a:graphic>
          </wp:inline>
        </w:drawing>
      </w:r>
    </w:p>
    <w:p w14:paraId="55830551" w14:textId="77777777" w:rsidR="0099407F" w:rsidRPr="00FB7E5E" w:rsidRDefault="0099407F" w:rsidP="0099407F">
      <w:pPr>
        <w:spacing w:after="0" w:line="240" w:lineRule="auto"/>
        <w:jc w:val="center"/>
        <w:rPr>
          <w:rFonts w:cstheme="minorHAnsi"/>
          <w:sz w:val="24"/>
          <w:szCs w:val="24"/>
          <w:highlight w:val="yellow"/>
        </w:rPr>
      </w:pPr>
    </w:p>
    <w:p w14:paraId="1E6FCA13" w14:textId="77777777" w:rsidR="0099407F" w:rsidRPr="00FB7E5E" w:rsidRDefault="0099407F" w:rsidP="0099407F">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41A7F69F" w14:textId="77777777" w:rsidR="0099407F" w:rsidRPr="00FB7E5E" w:rsidRDefault="0099407F" w:rsidP="0099407F">
      <w:pPr>
        <w:spacing w:after="0" w:line="240" w:lineRule="auto"/>
        <w:jc w:val="both"/>
        <w:rPr>
          <w:rFonts w:cstheme="minorHAnsi"/>
          <w:sz w:val="24"/>
          <w:szCs w:val="24"/>
          <w:highlight w:val="yellow"/>
        </w:rPr>
      </w:pPr>
    </w:p>
    <w:p w14:paraId="63AD02AF"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14</w:t>
      </w:r>
    </w:p>
    <w:p w14:paraId="7F4CD401"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Estructura del mercado seguros voluntarios 2008-2022</w:t>
      </w:r>
    </w:p>
    <w:p w14:paraId="416E21CD" w14:textId="77777777" w:rsidR="0099407F" w:rsidRPr="007E2573" w:rsidRDefault="0099407F" w:rsidP="0099407F">
      <w:pPr>
        <w:spacing w:after="0" w:line="240" w:lineRule="auto"/>
        <w:rPr>
          <w:rFonts w:cstheme="minorHAnsi"/>
          <w:sz w:val="20"/>
          <w:szCs w:val="20"/>
        </w:rPr>
      </w:pPr>
      <w:r w:rsidRPr="007E2573">
        <w:rPr>
          <w:rFonts w:cstheme="minorHAnsi"/>
          <w:sz w:val="20"/>
          <w:szCs w:val="20"/>
        </w:rPr>
        <w:t>(porcentajes)</w:t>
      </w:r>
    </w:p>
    <w:p w14:paraId="39137DA1" w14:textId="77777777" w:rsidR="0099407F" w:rsidRPr="00FB7E5E" w:rsidRDefault="0099407F" w:rsidP="0099407F">
      <w:pPr>
        <w:spacing w:after="0" w:line="240" w:lineRule="auto"/>
        <w:jc w:val="center"/>
        <w:rPr>
          <w:rFonts w:cstheme="minorHAnsi"/>
          <w:sz w:val="24"/>
          <w:szCs w:val="24"/>
          <w:highlight w:val="yellow"/>
        </w:rPr>
      </w:pPr>
      <w:r w:rsidRPr="00FB7E5E">
        <w:rPr>
          <w:rFonts w:cstheme="minorHAnsi"/>
          <w:noProof/>
          <w:sz w:val="24"/>
          <w:szCs w:val="24"/>
        </w:rPr>
        <w:drawing>
          <wp:inline distT="0" distB="0" distL="0" distR="0" wp14:anchorId="5D4B149F" wp14:editId="24630B01">
            <wp:extent cx="6163310" cy="2780030"/>
            <wp:effectExtent l="0" t="0" r="8890" b="127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3310" cy="2780030"/>
                    </a:xfrm>
                    <a:prstGeom prst="rect">
                      <a:avLst/>
                    </a:prstGeom>
                    <a:noFill/>
                  </pic:spPr>
                </pic:pic>
              </a:graphicData>
            </a:graphic>
          </wp:inline>
        </w:drawing>
      </w:r>
    </w:p>
    <w:p w14:paraId="3BC76041" w14:textId="77777777" w:rsidR="0099407F" w:rsidRPr="00FB7E5E" w:rsidRDefault="0099407F" w:rsidP="0099407F">
      <w:pPr>
        <w:spacing w:after="0" w:line="240" w:lineRule="auto"/>
        <w:jc w:val="both"/>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6AC4847D" w14:textId="77777777" w:rsidR="0099407F" w:rsidRPr="00FB7E5E" w:rsidRDefault="0099407F" w:rsidP="0099407F">
      <w:pPr>
        <w:spacing w:after="0" w:line="240" w:lineRule="auto"/>
        <w:jc w:val="both"/>
        <w:rPr>
          <w:rFonts w:cstheme="minorHAnsi"/>
          <w:color w:val="595959" w:themeColor="text1" w:themeTint="A6"/>
          <w:sz w:val="20"/>
          <w:szCs w:val="20"/>
        </w:rPr>
      </w:pPr>
    </w:p>
    <w:p w14:paraId="101B9850" w14:textId="77777777" w:rsidR="0099407F" w:rsidRPr="00FB7E5E" w:rsidRDefault="0099407F" w:rsidP="0099407F">
      <w:pPr>
        <w:spacing w:after="0" w:line="240" w:lineRule="auto"/>
        <w:jc w:val="both"/>
        <w:rPr>
          <w:rFonts w:cstheme="minorHAnsi"/>
          <w:sz w:val="24"/>
          <w:szCs w:val="24"/>
          <w:highlight w:val="yellow"/>
        </w:rPr>
      </w:pPr>
    </w:p>
    <w:p w14:paraId="0DAEF3EE" w14:textId="77777777" w:rsidR="0099407F" w:rsidRPr="00C54761" w:rsidRDefault="0099407F" w:rsidP="0099407F">
      <w:pPr>
        <w:spacing w:after="0" w:line="240" w:lineRule="auto"/>
        <w:jc w:val="both"/>
        <w:rPr>
          <w:rFonts w:cstheme="minorHAnsi"/>
        </w:rPr>
      </w:pPr>
      <w:r w:rsidRPr="00C54761">
        <w:rPr>
          <w:rFonts w:cstheme="minorHAnsi"/>
        </w:rPr>
        <w:lastRenderedPageBreak/>
        <w:t>Las cuatro empresas privadas con mayor participación de mercado, desde el 2012 a la fecha, fueron ASSA, Panamerican Life, ADISA y Mapfre, en conjunto estas entidades ganaron participación en forma sostenida en ese lapso, al pasar de un 6,8% del mercado en 2012 a representar un 23,4% en 2022.</w:t>
      </w:r>
    </w:p>
    <w:p w14:paraId="0BD0B427" w14:textId="77777777" w:rsidR="0099407F" w:rsidRPr="00C54761" w:rsidRDefault="0099407F" w:rsidP="0099407F">
      <w:pPr>
        <w:spacing w:after="0" w:line="240" w:lineRule="auto"/>
        <w:jc w:val="both"/>
        <w:rPr>
          <w:rFonts w:cstheme="minorHAnsi"/>
          <w:highlight w:val="yellow"/>
        </w:rPr>
      </w:pPr>
    </w:p>
    <w:p w14:paraId="609BE29B" w14:textId="77777777" w:rsidR="0099407F" w:rsidRPr="00C54761" w:rsidRDefault="0099407F" w:rsidP="0099407F">
      <w:pPr>
        <w:spacing w:after="0" w:line="240" w:lineRule="auto"/>
        <w:jc w:val="both"/>
        <w:rPr>
          <w:rFonts w:cstheme="minorHAnsi"/>
        </w:rPr>
      </w:pPr>
      <w:r w:rsidRPr="00C54761">
        <w:rPr>
          <w:rFonts w:cstheme="minorHAnsi"/>
        </w:rPr>
        <w:t>Lo descrito en cuanto a la estructura de mercado, ha resultado, de acuerdo con el Índice de Herfindahl-Hirschman (HH), en un decrecimiento sostenido del grado de concentración de mercado, al 2022 de un 56,5% en los seguros totales y de 66,5% en los seguros voluntarios, con respecto al nivel máximo del índice (10 000), representativo de una situación de monopolio.</w:t>
      </w:r>
    </w:p>
    <w:p w14:paraId="5751351D" w14:textId="77777777" w:rsidR="0099407F" w:rsidRPr="00C54761" w:rsidRDefault="0099407F" w:rsidP="0099407F">
      <w:pPr>
        <w:spacing w:after="0" w:line="240" w:lineRule="auto"/>
        <w:jc w:val="both"/>
        <w:rPr>
          <w:rFonts w:cstheme="minorHAnsi"/>
          <w:highlight w:val="yellow"/>
        </w:rPr>
      </w:pPr>
    </w:p>
    <w:p w14:paraId="616F8D73" w14:textId="77777777" w:rsidR="0099407F" w:rsidRPr="00C54761" w:rsidRDefault="0099407F" w:rsidP="0099407F">
      <w:pPr>
        <w:spacing w:after="0" w:line="240" w:lineRule="auto"/>
        <w:jc w:val="both"/>
        <w:rPr>
          <w:rFonts w:cstheme="minorHAnsi"/>
        </w:rPr>
      </w:pPr>
      <w:r w:rsidRPr="00C54761">
        <w:rPr>
          <w:rFonts w:cstheme="minorHAnsi"/>
        </w:rPr>
        <w:t xml:space="preserve">De acuerdo con el Índice HH, al cierre de 2022, la concentración del mercado de seguros decreció en 117 puntos respecto al año previo, es decir un 2,6% menos, con lo cual se mantiene la tendencia de alejarse del estado de monopolio, aunque con una menor velocidad que años previos. </w:t>
      </w:r>
    </w:p>
    <w:p w14:paraId="0F924E8B" w14:textId="77777777" w:rsidR="0099407F" w:rsidRPr="00C54761" w:rsidRDefault="0099407F" w:rsidP="0099407F">
      <w:pPr>
        <w:spacing w:after="0" w:line="240" w:lineRule="auto"/>
        <w:jc w:val="both"/>
        <w:rPr>
          <w:rFonts w:cstheme="minorHAnsi"/>
          <w:highlight w:val="yellow"/>
        </w:rPr>
      </w:pPr>
    </w:p>
    <w:p w14:paraId="7ADBF532" w14:textId="77777777" w:rsidR="0099407F" w:rsidRPr="00C54761" w:rsidRDefault="0099407F" w:rsidP="0099407F">
      <w:pPr>
        <w:spacing w:after="0" w:line="240" w:lineRule="auto"/>
        <w:jc w:val="both"/>
        <w:rPr>
          <w:rFonts w:cstheme="minorHAnsi"/>
        </w:rPr>
      </w:pPr>
      <w:r w:rsidRPr="00C54761">
        <w:rPr>
          <w:rFonts w:cstheme="minorHAnsi"/>
        </w:rPr>
        <w:t>El total de seguros voluntarios personales está más cercano de un nivel de concentración moderado, según los parámetros del Departamento de Justicia de los Estados Unidos, que es cuando el índice es igual o menor a 1800. En 2022 el IHH del segmento de los seguros personales voluntarios fue de 2303, con lo cual se muestra un retroceso hacia un mercado competitivo con respecto a 2021 cuando fue de 2273.</w:t>
      </w:r>
    </w:p>
    <w:p w14:paraId="635A8309" w14:textId="77777777" w:rsidR="0099407F" w:rsidRPr="00FB7E5E" w:rsidRDefault="0099407F" w:rsidP="0099407F">
      <w:pPr>
        <w:spacing w:after="0" w:line="240" w:lineRule="auto"/>
        <w:jc w:val="both"/>
        <w:rPr>
          <w:rFonts w:cstheme="minorHAnsi"/>
          <w:sz w:val="28"/>
          <w:szCs w:val="24"/>
          <w:highlight w:val="yellow"/>
        </w:rPr>
      </w:pPr>
    </w:p>
    <w:p w14:paraId="2261E47C"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15</w:t>
      </w:r>
    </w:p>
    <w:p w14:paraId="20873853"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Índice Herfindahl- Hirschman (IHH) para el mercado de seguros total y voluntario 2008-2022</w:t>
      </w:r>
    </w:p>
    <w:p w14:paraId="7E88825E" w14:textId="77777777" w:rsidR="0099407F" w:rsidRPr="00FB7E5E" w:rsidRDefault="0099407F" w:rsidP="0099407F">
      <w:pPr>
        <w:spacing w:after="0" w:line="240" w:lineRule="auto"/>
        <w:jc w:val="both"/>
        <w:rPr>
          <w:rFonts w:cstheme="minorHAnsi"/>
          <w:sz w:val="24"/>
          <w:szCs w:val="24"/>
          <w:highlight w:val="yellow"/>
        </w:rPr>
      </w:pPr>
      <w:r w:rsidRPr="00BB2AF7">
        <w:rPr>
          <w:rFonts w:cstheme="minorHAnsi"/>
          <w:noProof/>
          <w:shd w:val="clear" w:color="auto" w:fill="92D050"/>
        </w:rPr>
        <w:drawing>
          <wp:inline distT="0" distB="0" distL="0" distR="0" wp14:anchorId="06A9E6C8" wp14:editId="5CADD916">
            <wp:extent cx="6036945" cy="2981325"/>
            <wp:effectExtent l="0" t="0" r="1905" b="0"/>
            <wp:docPr id="456" name="Gráfico 456">
              <a:extLst xmlns:a="http://schemas.openxmlformats.org/drawingml/2006/main">
                <a:ext uri="{FF2B5EF4-FFF2-40B4-BE49-F238E27FC236}">
                  <a16:creationId xmlns:a16="http://schemas.microsoft.com/office/drawing/2014/main" id="{664F2207-8A30-4039-90EF-03BB16F0D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FE5585" w14:textId="77777777" w:rsidR="0099407F" w:rsidRPr="00FB7E5E" w:rsidRDefault="0099407F" w:rsidP="0099407F">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3A61BF08" w14:textId="77777777" w:rsidR="00BB2AF7" w:rsidRDefault="00BB2AF7" w:rsidP="0099407F">
      <w:pPr>
        <w:spacing w:after="0" w:line="240" w:lineRule="auto"/>
        <w:rPr>
          <w:rFonts w:cstheme="minorHAnsi"/>
          <w:b/>
          <w:bCs/>
          <w:sz w:val="24"/>
          <w:szCs w:val="24"/>
        </w:rPr>
      </w:pPr>
    </w:p>
    <w:p w14:paraId="39F8F15C" w14:textId="77777777" w:rsidR="00C54761" w:rsidRDefault="00C54761" w:rsidP="0099407F">
      <w:pPr>
        <w:spacing w:after="0" w:line="240" w:lineRule="auto"/>
        <w:rPr>
          <w:rFonts w:cstheme="minorHAnsi"/>
          <w:b/>
          <w:bCs/>
          <w:sz w:val="24"/>
          <w:szCs w:val="24"/>
        </w:rPr>
      </w:pPr>
    </w:p>
    <w:p w14:paraId="0566AB5E" w14:textId="77777777" w:rsidR="00C54761" w:rsidRDefault="00C54761" w:rsidP="0099407F">
      <w:pPr>
        <w:spacing w:after="0" w:line="240" w:lineRule="auto"/>
        <w:rPr>
          <w:rFonts w:cstheme="minorHAnsi"/>
          <w:b/>
          <w:bCs/>
          <w:sz w:val="24"/>
          <w:szCs w:val="24"/>
        </w:rPr>
      </w:pPr>
    </w:p>
    <w:p w14:paraId="0F2915ED" w14:textId="77777777" w:rsidR="00C54761" w:rsidRDefault="00C54761" w:rsidP="0099407F">
      <w:pPr>
        <w:spacing w:after="0" w:line="240" w:lineRule="auto"/>
        <w:rPr>
          <w:rFonts w:cstheme="minorHAnsi"/>
          <w:b/>
          <w:bCs/>
          <w:sz w:val="24"/>
          <w:szCs w:val="24"/>
        </w:rPr>
      </w:pPr>
    </w:p>
    <w:p w14:paraId="0B932591" w14:textId="77777777" w:rsidR="00C54761" w:rsidRDefault="00C54761" w:rsidP="0099407F">
      <w:pPr>
        <w:spacing w:after="0" w:line="240" w:lineRule="auto"/>
        <w:rPr>
          <w:rFonts w:cstheme="minorHAnsi"/>
          <w:b/>
          <w:bCs/>
          <w:sz w:val="24"/>
          <w:szCs w:val="24"/>
        </w:rPr>
      </w:pPr>
    </w:p>
    <w:p w14:paraId="69373084" w14:textId="77777777" w:rsidR="00C54761" w:rsidRDefault="00C54761" w:rsidP="0099407F">
      <w:pPr>
        <w:spacing w:after="0" w:line="240" w:lineRule="auto"/>
        <w:rPr>
          <w:rFonts w:cstheme="minorHAnsi"/>
          <w:b/>
          <w:bCs/>
          <w:sz w:val="24"/>
          <w:szCs w:val="24"/>
        </w:rPr>
      </w:pPr>
    </w:p>
    <w:p w14:paraId="1923B572" w14:textId="2714EF90" w:rsidR="0099407F" w:rsidRPr="00FB7E5E" w:rsidRDefault="0099407F" w:rsidP="0099407F">
      <w:pPr>
        <w:spacing w:after="0" w:line="240" w:lineRule="auto"/>
        <w:rPr>
          <w:rFonts w:cstheme="minorHAnsi"/>
          <w:b/>
          <w:bCs/>
          <w:sz w:val="24"/>
          <w:szCs w:val="24"/>
        </w:rPr>
      </w:pPr>
      <w:r w:rsidRPr="00FB7E5E">
        <w:rPr>
          <w:rFonts w:cstheme="minorHAnsi"/>
          <w:b/>
          <w:bCs/>
          <w:sz w:val="24"/>
          <w:szCs w:val="24"/>
        </w:rPr>
        <w:lastRenderedPageBreak/>
        <w:t>Gráfico 16</w:t>
      </w:r>
    </w:p>
    <w:p w14:paraId="09F49FFF" w14:textId="7E0464F9" w:rsidR="0099407F" w:rsidRPr="00FB7E5E" w:rsidRDefault="002764F3" w:rsidP="0099407F">
      <w:pPr>
        <w:spacing w:line="240" w:lineRule="auto"/>
        <w:rPr>
          <w:rFonts w:cstheme="minorHAnsi"/>
          <w:b/>
          <w:bCs/>
        </w:rPr>
      </w:pPr>
      <w:r w:rsidRPr="00FB7E5E">
        <w:rPr>
          <w:rFonts w:cstheme="minorHAnsi"/>
          <w:b/>
          <w:noProof/>
        </w:rPr>
        <w:drawing>
          <wp:anchor distT="0" distB="0" distL="114300" distR="114300" simplePos="0" relativeHeight="251670528" behindDoc="0" locked="0" layoutInCell="1" allowOverlap="1" wp14:anchorId="10D87859" wp14:editId="5CEB9024">
            <wp:simplePos x="0" y="0"/>
            <wp:positionH relativeFrom="margin">
              <wp:posOffset>-118110</wp:posOffset>
            </wp:positionH>
            <wp:positionV relativeFrom="paragraph">
              <wp:posOffset>273050</wp:posOffset>
            </wp:positionV>
            <wp:extent cx="6173359" cy="2592126"/>
            <wp:effectExtent l="0" t="0" r="0" b="0"/>
            <wp:wrapNone/>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9407F" w:rsidRPr="00FB7E5E">
        <w:rPr>
          <w:rFonts w:cstheme="minorHAnsi"/>
          <w:b/>
          <w:bCs/>
        </w:rPr>
        <w:t>Índice Herfindahl- Hirschman (IHH) para el mercado de seguros voluntario según categoría 2008-2022</w:t>
      </w:r>
    </w:p>
    <w:p w14:paraId="08AABB5A" w14:textId="54A5F713" w:rsidR="0099407F" w:rsidRPr="00FB7E5E" w:rsidRDefault="0099407F" w:rsidP="0099407F">
      <w:pPr>
        <w:spacing w:line="240" w:lineRule="auto"/>
        <w:rPr>
          <w:rFonts w:cstheme="minorHAnsi"/>
          <w:b/>
          <w:highlight w:val="yellow"/>
        </w:rPr>
      </w:pPr>
    </w:p>
    <w:p w14:paraId="18E22AA3" w14:textId="77777777" w:rsidR="0099407F" w:rsidRPr="00FB7E5E" w:rsidRDefault="0099407F" w:rsidP="0099407F">
      <w:pPr>
        <w:spacing w:line="240" w:lineRule="auto"/>
        <w:rPr>
          <w:rFonts w:cstheme="minorHAnsi"/>
          <w:b/>
          <w:highlight w:val="yellow"/>
        </w:rPr>
      </w:pPr>
    </w:p>
    <w:p w14:paraId="378A78DF" w14:textId="77777777" w:rsidR="0099407F" w:rsidRPr="00FB7E5E" w:rsidRDefault="0099407F" w:rsidP="0099407F">
      <w:pPr>
        <w:spacing w:line="240" w:lineRule="auto"/>
        <w:rPr>
          <w:rFonts w:cstheme="minorHAnsi"/>
          <w:b/>
          <w:highlight w:val="yellow"/>
        </w:rPr>
      </w:pPr>
    </w:p>
    <w:p w14:paraId="564BCBB1" w14:textId="77777777" w:rsidR="0099407F" w:rsidRPr="00FB7E5E" w:rsidRDefault="0099407F" w:rsidP="0099407F">
      <w:pPr>
        <w:spacing w:line="240" w:lineRule="auto"/>
        <w:rPr>
          <w:rFonts w:cstheme="minorHAnsi"/>
          <w:b/>
          <w:highlight w:val="yellow"/>
        </w:rPr>
      </w:pPr>
    </w:p>
    <w:p w14:paraId="34D2267C" w14:textId="77777777" w:rsidR="0099407F" w:rsidRPr="00FB7E5E" w:rsidRDefault="0099407F" w:rsidP="0099407F">
      <w:pPr>
        <w:spacing w:line="240" w:lineRule="auto"/>
        <w:rPr>
          <w:rFonts w:cstheme="minorHAnsi"/>
          <w:b/>
          <w:highlight w:val="yellow"/>
        </w:rPr>
      </w:pPr>
    </w:p>
    <w:p w14:paraId="7D1B2D13" w14:textId="77777777" w:rsidR="0099407F" w:rsidRPr="00FB7E5E" w:rsidRDefault="0099407F" w:rsidP="0099407F">
      <w:pPr>
        <w:spacing w:line="240" w:lineRule="auto"/>
        <w:rPr>
          <w:rFonts w:cstheme="minorHAnsi"/>
          <w:b/>
          <w:highlight w:val="yellow"/>
        </w:rPr>
      </w:pPr>
    </w:p>
    <w:p w14:paraId="169D1D6D" w14:textId="77777777" w:rsidR="0099407F" w:rsidRPr="00FB7E5E" w:rsidRDefault="0099407F" w:rsidP="0099407F">
      <w:pPr>
        <w:spacing w:line="240" w:lineRule="auto"/>
        <w:rPr>
          <w:rFonts w:cstheme="minorHAnsi"/>
          <w:b/>
          <w:highlight w:val="yellow"/>
        </w:rPr>
      </w:pPr>
    </w:p>
    <w:p w14:paraId="247EAB40" w14:textId="77777777" w:rsidR="0099407F" w:rsidRPr="00FB7E5E" w:rsidRDefault="0099407F" w:rsidP="0099407F">
      <w:pPr>
        <w:spacing w:line="240" w:lineRule="auto"/>
        <w:rPr>
          <w:rFonts w:cstheme="minorHAnsi"/>
          <w:b/>
          <w:highlight w:val="yellow"/>
        </w:rPr>
      </w:pPr>
    </w:p>
    <w:p w14:paraId="2A7C891F" w14:textId="77777777" w:rsidR="0099407F" w:rsidRPr="00FB7E5E" w:rsidRDefault="0099407F" w:rsidP="0099407F">
      <w:pPr>
        <w:spacing w:line="240" w:lineRule="auto"/>
        <w:rPr>
          <w:rFonts w:cstheme="minorHAnsi"/>
          <w:b/>
          <w:highlight w:val="yellow"/>
        </w:rPr>
      </w:pPr>
    </w:p>
    <w:p w14:paraId="06A5400F" w14:textId="77777777" w:rsidR="0099407F" w:rsidRPr="00FB7E5E" w:rsidRDefault="0099407F" w:rsidP="0099407F">
      <w:pPr>
        <w:spacing w:line="240" w:lineRule="auto"/>
        <w:rPr>
          <w:rFonts w:cstheme="minorHAnsi"/>
          <w:b/>
          <w:highlight w:val="yellow"/>
        </w:rPr>
      </w:pPr>
    </w:p>
    <w:p w14:paraId="0C97321B" w14:textId="03DFE833" w:rsidR="0099407F" w:rsidRDefault="0099407F" w:rsidP="0099407F">
      <w:pPr>
        <w:pStyle w:val="Prrafodelista"/>
        <w:spacing w:line="240" w:lineRule="auto"/>
        <w:ind w:left="420"/>
        <w:jc w:val="both"/>
        <w:rPr>
          <w:rFonts w:cstheme="minorHAnsi"/>
          <w:b/>
          <w:sz w:val="24"/>
          <w:szCs w:val="24"/>
        </w:rPr>
      </w:pPr>
    </w:p>
    <w:p w14:paraId="36D40867" w14:textId="77777777" w:rsidR="00C962FD" w:rsidRDefault="00C962FD" w:rsidP="0099407F">
      <w:pPr>
        <w:pStyle w:val="Prrafodelista"/>
        <w:spacing w:line="240" w:lineRule="auto"/>
        <w:ind w:left="420"/>
        <w:jc w:val="both"/>
        <w:rPr>
          <w:rFonts w:cstheme="minorHAnsi"/>
          <w:b/>
          <w:sz w:val="24"/>
          <w:szCs w:val="24"/>
        </w:rPr>
      </w:pPr>
    </w:p>
    <w:p w14:paraId="3BF0F529" w14:textId="10DB96B9" w:rsidR="0099407F" w:rsidRPr="009D2BA6" w:rsidRDefault="0099407F" w:rsidP="009D2BA6">
      <w:pPr>
        <w:pStyle w:val="Prrafodelista"/>
        <w:numPr>
          <w:ilvl w:val="0"/>
          <w:numId w:val="48"/>
        </w:numPr>
        <w:spacing w:line="240" w:lineRule="auto"/>
        <w:jc w:val="both"/>
        <w:rPr>
          <w:rFonts w:cstheme="minorHAnsi"/>
          <w:b/>
          <w:bCs/>
          <w:sz w:val="24"/>
          <w:szCs w:val="24"/>
        </w:rPr>
      </w:pPr>
      <w:r w:rsidRPr="009D2BA6">
        <w:rPr>
          <w:rFonts w:cstheme="minorHAnsi"/>
          <w:b/>
          <w:bCs/>
          <w:sz w:val="24"/>
          <w:szCs w:val="24"/>
        </w:rPr>
        <w:t xml:space="preserve">Principales indicadores del mercado </w:t>
      </w:r>
    </w:p>
    <w:p w14:paraId="3C6D4672" w14:textId="2478BC8C" w:rsidR="0099407F" w:rsidRPr="00C54761" w:rsidRDefault="0099407F" w:rsidP="0099407F">
      <w:pPr>
        <w:spacing w:line="240" w:lineRule="auto"/>
        <w:jc w:val="both"/>
        <w:rPr>
          <w:rFonts w:cstheme="minorHAnsi"/>
        </w:rPr>
      </w:pPr>
      <w:r w:rsidRPr="00C54761">
        <w:rPr>
          <w:rFonts w:cstheme="minorHAnsi"/>
        </w:rPr>
        <w:t>El Ratio Combinado del mercado al cierre del 2022 fue de 95,7%</w:t>
      </w:r>
      <w:r w:rsidR="008337E8">
        <w:rPr>
          <w:rFonts w:cstheme="minorHAnsi"/>
        </w:rPr>
        <w:t>,</w:t>
      </w:r>
      <w:r w:rsidRPr="00C54761">
        <w:rPr>
          <w:rFonts w:cstheme="minorHAnsi"/>
        </w:rPr>
        <w:t xml:space="preserve"> con lo cual las primas fueron suficientes para cubrir el costo del seguro por concepto de siniestralidad y gastos de explotación. Este resultado fue similar al del año precedente (95,8%). </w:t>
      </w:r>
    </w:p>
    <w:p w14:paraId="47344FB1" w14:textId="77777777" w:rsidR="0099407F" w:rsidRPr="00C54761" w:rsidRDefault="0099407F" w:rsidP="0099407F">
      <w:pPr>
        <w:spacing w:line="240" w:lineRule="auto"/>
        <w:jc w:val="both"/>
        <w:rPr>
          <w:rFonts w:cstheme="minorHAnsi"/>
        </w:rPr>
      </w:pPr>
      <w:r w:rsidRPr="00C54761">
        <w:rPr>
          <w:rFonts w:cstheme="minorHAnsi"/>
        </w:rPr>
        <w:t xml:space="preserve">En cuanto al requerimiento de capital y solvencia, todas las entidades cumplieron con las disposiciones normativas definidas para tal efecto. </w:t>
      </w:r>
    </w:p>
    <w:p w14:paraId="3CE21B28" w14:textId="65A950A4" w:rsidR="0099407F" w:rsidRPr="00C54761" w:rsidRDefault="0099407F" w:rsidP="0099407F">
      <w:pPr>
        <w:spacing w:line="240" w:lineRule="auto"/>
        <w:jc w:val="both"/>
        <w:rPr>
          <w:rFonts w:cstheme="minorHAnsi"/>
        </w:rPr>
      </w:pPr>
      <w:r w:rsidRPr="00C54761">
        <w:rPr>
          <w:rFonts w:cstheme="minorHAnsi"/>
        </w:rPr>
        <w:t>La Rentabilidad del Patrimonio (ROE) del mercado fue de 4,5% inferior al 12,8% del 2021. Únicamente tres entidades (Seguros del Magisterio, Qu</w:t>
      </w:r>
      <w:r w:rsidR="004F1E53">
        <w:rPr>
          <w:rFonts w:cstheme="minorHAnsi"/>
        </w:rPr>
        <w:t>á</w:t>
      </w:r>
      <w:r w:rsidRPr="00C54761">
        <w:rPr>
          <w:rFonts w:cstheme="minorHAnsi"/>
        </w:rPr>
        <w:t xml:space="preserve">litas y BMI) registraron un aumento en el indicador, mientras que solamente Oceánica obtuvo un resultado negativo. </w:t>
      </w:r>
    </w:p>
    <w:p w14:paraId="4938AFE9" w14:textId="61DDCB1D" w:rsidR="0099407F" w:rsidRPr="00C54761" w:rsidRDefault="0099407F" w:rsidP="0099407F">
      <w:pPr>
        <w:spacing w:line="240" w:lineRule="auto"/>
        <w:jc w:val="both"/>
        <w:rPr>
          <w:rFonts w:cstheme="minorHAnsi"/>
        </w:rPr>
      </w:pPr>
      <w:r w:rsidRPr="00C54761">
        <w:rPr>
          <w:rFonts w:cstheme="minorHAnsi"/>
        </w:rPr>
        <w:t xml:space="preserve">El indicador de Rentabilidad de las Inversiones registró un resultado negativo de -3,5% en 2022 en contraste con el 10,6% del año precedente. Solo tres entidades (Mapfre, Quálitas y Sagicor) registraron un resultado positivo en el indicador. </w:t>
      </w:r>
    </w:p>
    <w:p w14:paraId="05050D93" w14:textId="68A72BBF" w:rsidR="00C54761" w:rsidRDefault="00C54761" w:rsidP="0099407F">
      <w:pPr>
        <w:spacing w:after="0" w:line="240" w:lineRule="auto"/>
        <w:jc w:val="both"/>
        <w:rPr>
          <w:rFonts w:cstheme="minorHAnsi"/>
          <w:b/>
          <w:bCs/>
          <w:sz w:val="24"/>
          <w:szCs w:val="24"/>
        </w:rPr>
      </w:pPr>
    </w:p>
    <w:p w14:paraId="70463645" w14:textId="351390A2" w:rsidR="008337E8" w:rsidRDefault="008337E8">
      <w:pPr>
        <w:rPr>
          <w:rFonts w:cstheme="minorHAnsi"/>
          <w:b/>
          <w:bCs/>
          <w:sz w:val="24"/>
          <w:szCs w:val="24"/>
        </w:rPr>
      </w:pPr>
      <w:r>
        <w:rPr>
          <w:rFonts w:cstheme="minorHAnsi"/>
          <w:b/>
          <w:bCs/>
          <w:sz w:val="24"/>
          <w:szCs w:val="24"/>
        </w:rPr>
        <w:br w:type="page"/>
      </w:r>
    </w:p>
    <w:p w14:paraId="1EC16A71" w14:textId="4A143A15" w:rsidR="0099407F" w:rsidRPr="007E2573" w:rsidRDefault="0099407F" w:rsidP="0099407F">
      <w:pPr>
        <w:spacing w:after="0" w:line="240" w:lineRule="auto"/>
        <w:jc w:val="both"/>
        <w:rPr>
          <w:rFonts w:cstheme="minorHAnsi"/>
          <w:b/>
          <w:bCs/>
          <w:sz w:val="24"/>
          <w:szCs w:val="24"/>
        </w:rPr>
      </w:pPr>
      <w:r w:rsidRPr="007E2573">
        <w:rPr>
          <w:rFonts w:cstheme="minorHAnsi"/>
          <w:b/>
          <w:bCs/>
          <w:sz w:val="24"/>
          <w:szCs w:val="24"/>
        </w:rPr>
        <w:lastRenderedPageBreak/>
        <w:t>Cuadro 4</w:t>
      </w:r>
    </w:p>
    <w:p w14:paraId="7D1D40FF" w14:textId="71957CF7" w:rsidR="0099407F" w:rsidRPr="007E2573" w:rsidRDefault="0099407F" w:rsidP="0099407F">
      <w:pPr>
        <w:spacing w:after="0" w:line="240" w:lineRule="auto"/>
        <w:rPr>
          <w:rFonts w:cstheme="minorHAnsi"/>
          <w:b/>
          <w:bCs/>
          <w:sz w:val="24"/>
          <w:szCs w:val="24"/>
        </w:rPr>
      </w:pPr>
      <w:r w:rsidRPr="007E2573">
        <w:rPr>
          <w:rFonts w:cstheme="minorHAnsi"/>
          <w:b/>
          <w:bCs/>
          <w:sz w:val="24"/>
          <w:szCs w:val="24"/>
        </w:rPr>
        <w:t>Principales indicadores 2022</w:t>
      </w:r>
    </w:p>
    <w:p w14:paraId="40CE7A52" w14:textId="3BA20DBD" w:rsidR="00A153FA" w:rsidRPr="00A153FA" w:rsidRDefault="00A153FA" w:rsidP="0099407F">
      <w:pPr>
        <w:spacing w:after="0" w:line="240" w:lineRule="auto"/>
        <w:rPr>
          <w:rFonts w:cstheme="minorHAnsi"/>
          <w:sz w:val="20"/>
          <w:szCs w:val="20"/>
        </w:rPr>
      </w:pPr>
      <w:r w:rsidRPr="00A153FA">
        <w:rPr>
          <w:rFonts w:cstheme="minorHAnsi"/>
          <w:sz w:val="20"/>
          <w:szCs w:val="20"/>
        </w:rPr>
        <w:t>(porcentajes)</w:t>
      </w:r>
    </w:p>
    <w:p w14:paraId="29EC1479" w14:textId="2D6AC567" w:rsidR="0099407F" w:rsidRPr="00FB7E5E" w:rsidRDefault="00E2392C" w:rsidP="000978B0">
      <w:pPr>
        <w:pStyle w:val="TextoInicial"/>
        <w:jc w:val="both"/>
        <w:rPr>
          <w:rFonts w:asciiTheme="minorHAnsi" w:hAnsiTheme="minorHAnsi" w:cstheme="minorHAnsi"/>
          <w:b w:val="0"/>
          <w:sz w:val="24"/>
          <w:lang w:val="es-ES"/>
        </w:rPr>
      </w:pPr>
      <w:r w:rsidRPr="00E2392C">
        <w:rPr>
          <w:noProof/>
        </w:rPr>
        <w:drawing>
          <wp:inline distT="0" distB="0" distL="0" distR="0" wp14:anchorId="38B567F7" wp14:editId="28FA96CC">
            <wp:extent cx="6077442" cy="2146852"/>
            <wp:effectExtent l="0" t="0" r="0" b="635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1209" cy="2151715"/>
                    </a:xfrm>
                    <a:prstGeom prst="rect">
                      <a:avLst/>
                    </a:prstGeom>
                    <a:noFill/>
                    <a:ln>
                      <a:noFill/>
                    </a:ln>
                  </pic:spPr>
                </pic:pic>
              </a:graphicData>
            </a:graphic>
          </wp:inline>
        </w:drawing>
      </w:r>
    </w:p>
    <w:p w14:paraId="60DA3707" w14:textId="77777777" w:rsidR="0099407F" w:rsidRDefault="0099407F" w:rsidP="0099407F">
      <w:pPr>
        <w:spacing w:after="0" w:line="240" w:lineRule="auto"/>
        <w:jc w:val="both"/>
        <w:rPr>
          <w:rFonts w:cstheme="minorHAnsi"/>
          <w:color w:val="595959" w:themeColor="text1" w:themeTint="A6"/>
          <w:sz w:val="20"/>
          <w:szCs w:val="20"/>
        </w:rPr>
      </w:pPr>
      <w:r w:rsidRPr="00FB7E5E">
        <w:rPr>
          <w:rFonts w:cstheme="minorHAnsi"/>
          <w:color w:val="595959" w:themeColor="text1" w:themeTint="A6"/>
          <w:sz w:val="20"/>
          <w:szCs w:val="20"/>
        </w:rPr>
        <w:t>Fuente: Superintendencia General de Seguros (Sugese)</w:t>
      </w:r>
    </w:p>
    <w:p w14:paraId="0DF6E5EE" w14:textId="77777777" w:rsidR="00C962FD" w:rsidRDefault="00C962FD" w:rsidP="0099407F">
      <w:pPr>
        <w:spacing w:after="0" w:line="240" w:lineRule="auto"/>
        <w:jc w:val="both"/>
        <w:rPr>
          <w:rFonts w:cstheme="minorHAnsi"/>
          <w:color w:val="595959" w:themeColor="text1" w:themeTint="A6"/>
          <w:sz w:val="20"/>
          <w:szCs w:val="20"/>
        </w:rPr>
      </w:pPr>
    </w:p>
    <w:p w14:paraId="2E7DF5EA" w14:textId="6A71C4AE" w:rsidR="0099407F" w:rsidRPr="00FB7E5E" w:rsidRDefault="009D2BA6" w:rsidP="00C962FD">
      <w:pPr>
        <w:pStyle w:val="Prrafodelista"/>
        <w:spacing w:after="0" w:line="240" w:lineRule="auto"/>
        <w:ind w:left="360"/>
        <w:jc w:val="both"/>
        <w:rPr>
          <w:rFonts w:cstheme="minorHAnsi"/>
          <w:sz w:val="24"/>
          <w:szCs w:val="24"/>
        </w:rPr>
      </w:pPr>
      <w:r>
        <w:rPr>
          <w:rFonts w:cstheme="minorHAnsi"/>
          <w:b/>
          <w:bCs/>
          <w:sz w:val="24"/>
          <w:szCs w:val="24"/>
        </w:rPr>
        <w:t xml:space="preserve">3.1 </w:t>
      </w:r>
      <w:r w:rsidR="0099407F" w:rsidRPr="00FB7E5E">
        <w:rPr>
          <w:rFonts w:cstheme="minorHAnsi"/>
          <w:b/>
          <w:bCs/>
          <w:sz w:val="24"/>
          <w:szCs w:val="24"/>
        </w:rPr>
        <w:t>Desempeño técnico</w:t>
      </w:r>
    </w:p>
    <w:p w14:paraId="314FDAD7" w14:textId="77777777" w:rsidR="0099407F" w:rsidRPr="000978B0" w:rsidRDefault="0099407F" w:rsidP="0099407F">
      <w:pPr>
        <w:pStyle w:val="TextoInicial"/>
        <w:ind w:left="540"/>
        <w:jc w:val="both"/>
        <w:rPr>
          <w:rFonts w:asciiTheme="minorHAnsi" w:hAnsiTheme="minorHAnsi" w:cstheme="minorHAnsi"/>
          <w:b w:val="0"/>
          <w:sz w:val="22"/>
          <w:szCs w:val="22"/>
          <w:lang w:val="es-ES"/>
        </w:rPr>
      </w:pPr>
    </w:p>
    <w:p w14:paraId="5F8B32DC" w14:textId="000683D0" w:rsidR="0099407F" w:rsidRPr="000978B0" w:rsidRDefault="0099407F" w:rsidP="0099407F">
      <w:pPr>
        <w:spacing w:line="240" w:lineRule="auto"/>
        <w:jc w:val="both"/>
        <w:rPr>
          <w:rFonts w:cstheme="minorHAnsi"/>
          <w:lang w:val="es-ES"/>
        </w:rPr>
      </w:pPr>
      <w:r w:rsidRPr="000978B0">
        <w:rPr>
          <w:rFonts w:cstheme="minorHAnsi"/>
          <w:lang w:val="es-ES"/>
        </w:rPr>
        <w:t>Si bien el Ratio Combinado en 2022 fue similar al observado en el año previo, hubo un cambio en sus componentes. El Índice de Gastos aumentó 6,1 p.p.</w:t>
      </w:r>
      <w:r w:rsidR="008337E8">
        <w:rPr>
          <w:rFonts w:cstheme="minorHAnsi"/>
          <w:lang w:val="es-ES"/>
        </w:rPr>
        <w:t>,</w:t>
      </w:r>
      <w:r w:rsidRPr="000978B0">
        <w:rPr>
          <w:rFonts w:cstheme="minorHAnsi"/>
          <w:lang w:val="es-ES"/>
        </w:rPr>
        <w:t xml:space="preserve"> mientras que el de Siniestralidad disminuyó en 6,2 p.p.  En efecto, los gastos de adquisición, así como los gastos de administración</w:t>
      </w:r>
      <w:r w:rsidR="008337E8">
        <w:rPr>
          <w:rFonts w:cstheme="minorHAnsi"/>
          <w:lang w:val="es-ES"/>
        </w:rPr>
        <w:t>,</w:t>
      </w:r>
      <w:r w:rsidRPr="000978B0">
        <w:rPr>
          <w:rFonts w:cstheme="minorHAnsi"/>
          <w:lang w:val="es-ES"/>
        </w:rPr>
        <w:t xml:space="preserve"> registraron aumentos parcialmente compensados con menores gastos técnicos netos. En el menor Índice de siniestralidad influyó la mayor participación del reaseguro en las provisiones técnicas. </w:t>
      </w:r>
    </w:p>
    <w:p w14:paraId="7A2B0A12" w14:textId="69FF02AE" w:rsidR="0099407F" w:rsidRPr="00F956F6" w:rsidRDefault="0099407F" w:rsidP="0099407F">
      <w:pPr>
        <w:spacing w:after="0" w:line="240" w:lineRule="auto"/>
        <w:rPr>
          <w:rFonts w:cstheme="minorHAnsi"/>
          <w:b/>
          <w:bCs/>
          <w:sz w:val="24"/>
          <w:szCs w:val="24"/>
        </w:rPr>
      </w:pPr>
      <w:r w:rsidRPr="00F956F6">
        <w:rPr>
          <w:rFonts w:cstheme="minorHAnsi"/>
          <w:b/>
          <w:bCs/>
          <w:sz w:val="24"/>
          <w:szCs w:val="24"/>
        </w:rPr>
        <w:t>Gráfico 17</w:t>
      </w:r>
    </w:p>
    <w:p w14:paraId="602E40CF" w14:textId="16A60812" w:rsidR="0099407F" w:rsidRDefault="0099407F" w:rsidP="0099407F">
      <w:pPr>
        <w:spacing w:after="0" w:line="240" w:lineRule="auto"/>
        <w:rPr>
          <w:rFonts w:cstheme="minorHAnsi"/>
          <w:b/>
          <w:bCs/>
          <w:sz w:val="24"/>
          <w:szCs w:val="24"/>
        </w:rPr>
      </w:pPr>
      <w:r w:rsidRPr="00F956F6">
        <w:rPr>
          <w:rFonts w:cstheme="minorHAnsi"/>
          <w:b/>
          <w:bCs/>
          <w:sz w:val="24"/>
          <w:szCs w:val="24"/>
        </w:rPr>
        <w:t xml:space="preserve">Ratio combinado por componente, </w:t>
      </w:r>
      <w:r w:rsidR="00472A7B" w:rsidRPr="00F956F6">
        <w:rPr>
          <w:rFonts w:cstheme="minorHAnsi"/>
          <w:b/>
          <w:bCs/>
          <w:sz w:val="24"/>
          <w:szCs w:val="24"/>
        </w:rPr>
        <w:t xml:space="preserve">2018 </w:t>
      </w:r>
      <w:r w:rsidR="00D71212" w:rsidRPr="00F956F6">
        <w:rPr>
          <w:rFonts w:cstheme="minorHAnsi"/>
          <w:b/>
          <w:bCs/>
          <w:sz w:val="24"/>
          <w:szCs w:val="24"/>
        </w:rPr>
        <w:t>–</w:t>
      </w:r>
      <w:r w:rsidR="00472A7B" w:rsidRPr="00F956F6">
        <w:rPr>
          <w:rFonts w:cstheme="minorHAnsi"/>
          <w:b/>
          <w:bCs/>
          <w:sz w:val="24"/>
          <w:szCs w:val="24"/>
        </w:rPr>
        <w:t xml:space="preserve"> </w:t>
      </w:r>
      <w:r w:rsidRPr="00F956F6">
        <w:rPr>
          <w:rFonts w:cstheme="minorHAnsi"/>
          <w:b/>
          <w:bCs/>
          <w:sz w:val="24"/>
          <w:szCs w:val="24"/>
        </w:rPr>
        <w:t>2022</w:t>
      </w:r>
    </w:p>
    <w:p w14:paraId="7A9068B0" w14:textId="57490E10" w:rsidR="00F956F6" w:rsidRPr="00F956F6" w:rsidRDefault="00F956F6" w:rsidP="0099407F">
      <w:pPr>
        <w:spacing w:after="0" w:line="240" w:lineRule="auto"/>
        <w:rPr>
          <w:rFonts w:cstheme="minorHAnsi"/>
          <w:sz w:val="20"/>
          <w:szCs w:val="20"/>
        </w:rPr>
      </w:pPr>
      <w:r w:rsidRPr="00F956F6">
        <w:rPr>
          <w:rFonts w:cstheme="minorHAnsi"/>
          <w:sz w:val="20"/>
          <w:szCs w:val="20"/>
        </w:rPr>
        <w:t>(porcentajes)</w:t>
      </w:r>
    </w:p>
    <w:p w14:paraId="2ADE6744" w14:textId="53B721E5" w:rsidR="0099407F" w:rsidRPr="00FB7E5E" w:rsidRDefault="00D71212" w:rsidP="00F956F6">
      <w:pPr>
        <w:spacing w:after="0" w:line="240" w:lineRule="auto"/>
        <w:rPr>
          <w:rFonts w:cstheme="minorHAnsi"/>
          <w:sz w:val="24"/>
          <w:szCs w:val="24"/>
          <w:highlight w:val="yellow"/>
        </w:rPr>
      </w:pPr>
      <w:r>
        <w:rPr>
          <w:noProof/>
        </w:rPr>
        <w:drawing>
          <wp:inline distT="0" distB="0" distL="0" distR="0" wp14:anchorId="2EC381B5" wp14:editId="20D8EE76">
            <wp:extent cx="5969000" cy="2768600"/>
            <wp:effectExtent l="0" t="0" r="0" b="0"/>
            <wp:docPr id="2" name="Gráfico 2">
              <a:extLst xmlns:a="http://schemas.openxmlformats.org/drawingml/2006/main">
                <a:ext uri="{FF2B5EF4-FFF2-40B4-BE49-F238E27FC236}">
                  <a16:creationId xmlns:a16="http://schemas.microsoft.com/office/drawing/2014/main" id="{D16C07F1-8420-055A-24B9-F15918288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99407F" w:rsidRPr="00FB7E5E">
        <w:rPr>
          <w:rFonts w:cstheme="minorHAnsi"/>
          <w:color w:val="595959" w:themeColor="text1" w:themeTint="A6"/>
          <w:sz w:val="20"/>
          <w:szCs w:val="20"/>
        </w:rPr>
        <w:t>Fuente: Superintendencia General de Seguros (Sugese)</w:t>
      </w:r>
    </w:p>
    <w:p w14:paraId="11FF4329" w14:textId="0176723A" w:rsidR="0099407F" w:rsidRPr="000978B0" w:rsidRDefault="0099407F" w:rsidP="0099407F">
      <w:pPr>
        <w:spacing w:after="0" w:line="240" w:lineRule="auto"/>
        <w:jc w:val="both"/>
        <w:rPr>
          <w:rFonts w:cstheme="minorHAnsi"/>
        </w:rPr>
      </w:pPr>
      <w:r w:rsidRPr="000978B0">
        <w:rPr>
          <w:rFonts w:cstheme="minorHAnsi"/>
        </w:rPr>
        <w:lastRenderedPageBreak/>
        <w:t>A nivel de principales ramos</w:t>
      </w:r>
      <w:r w:rsidR="008337E8">
        <w:rPr>
          <w:rFonts w:cstheme="minorHAnsi"/>
        </w:rPr>
        <w:t>,</w:t>
      </w:r>
      <w:r w:rsidRPr="000978B0">
        <w:rPr>
          <w:rFonts w:cstheme="minorHAnsi"/>
        </w:rPr>
        <w:t xml:space="preserve"> </w:t>
      </w:r>
      <w:r w:rsidR="008337E8">
        <w:rPr>
          <w:rFonts w:cstheme="minorHAnsi"/>
        </w:rPr>
        <w:t xml:space="preserve">el </w:t>
      </w:r>
      <w:r w:rsidRPr="000978B0">
        <w:rPr>
          <w:rFonts w:cstheme="minorHAnsi"/>
        </w:rPr>
        <w:t>S</w:t>
      </w:r>
      <w:r w:rsidR="008337E8">
        <w:rPr>
          <w:rFonts w:cstheme="minorHAnsi"/>
        </w:rPr>
        <w:t xml:space="preserve">eguro </w:t>
      </w:r>
      <w:r w:rsidRPr="000978B0">
        <w:rPr>
          <w:rFonts w:cstheme="minorHAnsi"/>
        </w:rPr>
        <w:t>O</w:t>
      </w:r>
      <w:r w:rsidR="008337E8">
        <w:rPr>
          <w:rFonts w:cstheme="minorHAnsi"/>
        </w:rPr>
        <w:t xml:space="preserve">bligatorio </w:t>
      </w:r>
      <w:r w:rsidRPr="000978B0">
        <w:rPr>
          <w:rFonts w:cstheme="minorHAnsi"/>
        </w:rPr>
        <w:t>A</w:t>
      </w:r>
      <w:r w:rsidR="008337E8">
        <w:rPr>
          <w:rFonts w:cstheme="minorHAnsi"/>
        </w:rPr>
        <w:t>utomotor (SOA)</w:t>
      </w:r>
      <w:r w:rsidRPr="000978B0">
        <w:rPr>
          <w:rFonts w:cstheme="minorHAnsi"/>
        </w:rPr>
        <w:t xml:space="preserve">, </w:t>
      </w:r>
      <w:r w:rsidR="008337E8">
        <w:rPr>
          <w:rFonts w:cstheme="minorHAnsi"/>
        </w:rPr>
        <w:t xml:space="preserve">el seguro obligatorio de </w:t>
      </w:r>
      <w:r w:rsidRPr="000978B0">
        <w:rPr>
          <w:rFonts w:cstheme="minorHAnsi"/>
        </w:rPr>
        <w:t>R</w:t>
      </w:r>
      <w:r w:rsidR="008337E8">
        <w:rPr>
          <w:rFonts w:cstheme="minorHAnsi"/>
        </w:rPr>
        <w:t xml:space="preserve">iesgos del </w:t>
      </w:r>
      <w:r w:rsidRPr="000978B0">
        <w:rPr>
          <w:rFonts w:cstheme="minorHAnsi"/>
        </w:rPr>
        <w:t>T</w:t>
      </w:r>
      <w:r w:rsidR="008337E8">
        <w:rPr>
          <w:rFonts w:cstheme="minorHAnsi"/>
        </w:rPr>
        <w:t>rabajo</w:t>
      </w:r>
      <w:r w:rsidRPr="000978B0">
        <w:rPr>
          <w:rFonts w:cstheme="minorHAnsi"/>
        </w:rPr>
        <w:t xml:space="preserve"> </w:t>
      </w:r>
      <w:r w:rsidR="008337E8">
        <w:rPr>
          <w:rFonts w:cstheme="minorHAnsi"/>
        </w:rPr>
        <w:t xml:space="preserve">(RT) </w:t>
      </w:r>
      <w:r w:rsidRPr="000978B0">
        <w:rPr>
          <w:rFonts w:cstheme="minorHAnsi"/>
        </w:rPr>
        <w:t xml:space="preserve">e Incendio </w:t>
      </w:r>
      <w:r w:rsidR="008337E8">
        <w:rPr>
          <w:rFonts w:cstheme="minorHAnsi"/>
        </w:rPr>
        <w:t xml:space="preserve">y líneas aliadas </w:t>
      </w:r>
      <w:r w:rsidRPr="000978B0">
        <w:rPr>
          <w:rFonts w:cstheme="minorHAnsi"/>
        </w:rPr>
        <w:t>tuvieron un Ratio Combinado superior al 100%</w:t>
      </w:r>
      <w:r w:rsidR="008337E8">
        <w:rPr>
          <w:rFonts w:cstheme="minorHAnsi"/>
        </w:rPr>
        <w:t>,</w:t>
      </w:r>
      <w:r w:rsidRPr="000978B0">
        <w:rPr>
          <w:rFonts w:cstheme="minorHAnsi"/>
        </w:rPr>
        <w:t xml:space="preserve"> con lo cual, el ingreso por primas fue insuficiente para compensar el costo del seguro. </w:t>
      </w:r>
      <w:r w:rsidR="00D96A75">
        <w:rPr>
          <w:rFonts w:cstheme="minorHAnsi"/>
        </w:rPr>
        <w:t>Ú</w:t>
      </w:r>
      <w:r w:rsidR="00D96A75" w:rsidRPr="000978B0">
        <w:rPr>
          <w:rFonts w:cstheme="minorHAnsi"/>
        </w:rPr>
        <w:t>nicamente</w:t>
      </w:r>
      <w:r w:rsidRPr="000978B0">
        <w:rPr>
          <w:rFonts w:cstheme="minorHAnsi"/>
        </w:rPr>
        <w:t xml:space="preserve"> el ramo de Vida y el del SOA tuvieron un mejor resultado en el indicador en comparación con lo observado en el año previo. </w:t>
      </w:r>
    </w:p>
    <w:p w14:paraId="08C048A0" w14:textId="77777777" w:rsidR="0099407F" w:rsidRPr="00FB7E5E" w:rsidRDefault="0099407F" w:rsidP="0099407F">
      <w:pPr>
        <w:spacing w:after="0" w:line="240" w:lineRule="auto"/>
        <w:jc w:val="both"/>
        <w:rPr>
          <w:rFonts w:cstheme="minorHAnsi"/>
          <w:sz w:val="24"/>
          <w:szCs w:val="24"/>
        </w:rPr>
      </w:pPr>
    </w:p>
    <w:p w14:paraId="53AED59A"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Cuadro 5</w:t>
      </w:r>
    </w:p>
    <w:p w14:paraId="7545469D"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Ratio combinado por componente y principales ramos 2021 y 2022</w:t>
      </w:r>
    </w:p>
    <w:p w14:paraId="7DB2F4C9" w14:textId="460489EA" w:rsidR="0099407F" w:rsidRDefault="000C1588" w:rsidP="0099407F">
      <w:pPr>
        <w:spacing w:after="0" w:line="240" w:lineRule="auto"/>
        <w:rPr>
          <w:rFonts w:cstheme="minorHAnsi"/>
          <w:b/>
          <w:color w:val="FF0000"/>
          <w:sz w:val="20"/>
          <w:szCs w:val="20"/>
        </w:rPr>
      </w:pPr>
      <w:r w:rsidRPr="00F956F6">
        <w:rPr>
          <w:rFonts w:cstheme="minorHAnsi"/>
          <w:bCs/>
          <w:sz w:val="20"/>
          <w:szCs w:val="20"/>
        </w:rPr>
        <w:t>(porcentajes)</w:t>
      </w:r>
    </w:p>
    <w:p w14:paraId="6A55F335" w14:textId="1B008C9D" w:rsidR="00707471" w:rsidRDefault="002066D9" w:rsidP="0099407F">
      <w:pPr>
        <w:spacing w:after="0" w:line="240" w:lineRule="auto"/>
        <w:rPr>
          <w:rFonts w:cstheme="minorHAnsi"/>
          <w:bCs/>
          <w:sz w:val="20"/>
          <w:szCs w:val="20"/>
        </w:rPr>
      </w:pPr>
      <w:r w:rsidRPr="002066D9">
        <w:rPr>
          <w:noProof/>
        </w:rPr>
        <w:drawing>
          <wp:inline distT="0" distB="0" distL="0" distR="0" wp14:anchorId="1EDC4F5F" wp14:editId="3A7F4951">
            <wp:extent cx="5941060" cy="1367155"/>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1367155"/>
                    </a:xfrm>
                    <a:prstGeom prst="rect">
                      <a:avLst/>
                    </a:prstGeom>
                    <a:noFill/>
                    <a:ln>
                      <a:noFill/>
                    </a:ln>
                  </pic:spPr>
                </pic:pic>
              </a:graphicData>
            </a:graphic>
          </wp:inline>
        </w:drawing>
      </w:r>
    </w:p>
    <w:p w14:paraId="720A1655" w14:textId="77777777" w:rsidR="0099407F" w:rsidRPr="00FB7E5E" w:rsidRDefault="0099407F" w:rsidP="0099407F">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0807BE62" w14:textId="77777777" w:rsidR="0099407F" w:rsidRDefault="0099407F" w:rsidP="0099407F">
      <w:pPr>
        <w:spacing w:after="0" w:line="240" w:lineRule="auto"/>
        <w:rPr>
          <w:rFonts w:cstheme="minorHAnsi"/>
          <w:b/>
          <w:sz w:val="24"/>
          <w:szCs w:val="24"/>
        </w:rPr>
      </w:pPr>
    </w:p>
    <w:p w14:paraId="5C55C325" w14:textId="77777777" w:rsidR="00EE6F1C" w:rsidRPr="00FB7E5E" w:rsidRDefault="00EE6F1C" w:rsidP="0099407F">
      <w:pPr>
        <w:spacing w:after="0" w:line="240" w:lineRule="auto"/>
        <w:rPr>
          <w:rFonts w:cstheme="minorHAnsi"/>
          <w:b/>
          <w:sz w:val="24"/>
          <w:szCs w:val="24"/>
        </w:rPr>
      </w:pPr>
    </w:p>
    <w:p w14:paraId="56FAD248" w14:textId="564DB0E5" w:rsidR="0099407F" w:rsidRPr="009D2BA6" w:rsidRDefault="0099407F" w:rsidP="009D2BA6">
      <w:pPr>
        <w:pStyle w:val="Prrafodelista"/>
        <w:numPr>
          <w:ilvl w:val="1"/>
          <w:numId w:val="48"/>
        </w:numPr>
        <w:spacing w:after="0" w:line="240" w:lineRule="auto"/>
        <w:rPr>
          <w:rFonts w:cstheme="minorHAnsi"/>
          <w:b/>
          <w:bCs/>
          <w:sz w:val="24"/>
          <w:szCs w:val="24"/>
        </w:rPr>
      </w:pPr>
      <w:r w:rsidRPr="009D2BA6">
        <w:rPr>
          <w:rFonts w:cstheme="minorHAnsi"/>
          <w:b/>
          <w:bCs/>
          <w:sz w:val="24"/>
          <w:szCs w:val="24"/>
        </w:rPr>
        <w:t>Desempeño financiero</w:t>
      </w:r>
    </w:p>
    <w:p w14:paraId="6F61EAB2" w14:textId="420E0D3F" w:rsidR="0099407F" w:rsidRPr="00A75633" w:rsidRDefault="0099407F" w:rsidP="0099407F">
      <w:pPr>
        <w:spacing w:line="240" w:lineRule="auto"/>
        <w:jc w:val="both"/>
        <w:rPr>
          <w:rFonts w:cstheme="minorHAnsi"/>
        </w:rPr>
      </w:pPr>
      <w:r w:rsidRPr="00A75633">
        <w:rPr>
          <w:rFonts w:cstheme="minorHAnsi"/>
        </w:rPr>
        <w:t>El saldo de las inversiones a diciembre 2022 disminuyó un 6,7% con respecto al año previo</w:t>
      </w:r>
      <w:r w:rsidR="008337E8">
        <w:rPr>
          <w:rFonts w:cstheme="minorHAnsi"/>
        </w:rPr>
        <w:t>,</w:t>
      </w:r>
      <w:r w:rsidRPr="00A75633">
        <w:rPr>
          <w:rFonts w:cstheme="minorHAnsi"/>
        </w:rPr>
        <w:t xml:space="preserve"> mientras que la rentabilidad del portafolio se redujo en 14,1 p.p</w:t>
      </w:r>
      <w:r w:rsidR="002C1AB9">
        <w:rPr>
          <w:rFonts w:cstheme="minorHAnsi"/>
        </w:rPr>
        <w:t>.</w:t>
      </w:r>
      <w:r w:rsidRPr="00A75633">
        <w:rPr>
          <w:rFonts w:cstheme="minorHAnsi"/>
        </w:rPr>
        <w:t xml:space="preserve"> durante el mismo lapso. La composición por moneda evidenció una caída de 4,6% y de 11,8% en las inversiones en colones y en dólares, respectivamente. Por su parte, las inversiones en U</w:t>
      </w:r>
      <w:r w:rsidR="008337E8">
        <w:rPr>
          <w:rFonts w:cstheme="minorHAnsi"/>
        </w:rPr>
        <w:t xml:space="preserve">nidades de </w:t>
      </w:r>
      <w:r w:rsidRPr="00A75633">
        <w:rPr>
          <w:rFonts w:cstheme="minorHAnsi"/>
        </w:rPr>
        <w:t>D</w:t>
      </w:r>
      <w:r w:rsidR="008337E8">
        <w:rPr>
          <w:rFonts w:cstheme="minorHAnsi"/>
        </w:rPr>
        <w:t>esarrollo (UD</w:t>
      </w:r>
      <w:r w:rsidRPr="00A75633">
        <w:rPr>
          <w:rFonts w:cstheme="minorHAnsi"/>
        </w:rPr>
        <w:t>E</w:t>
      </w:r>
      <w:r w:rsidR="008337E8">
        <w:rPr>
          <w:rFonts w:cstheme="minorHAnsi"/>
        </w:rPr>
        <w:t>)</w:t>
      </w:r>
      <w:r w:rsidRPr="00A75633">
        <w:rPr>
          <w:rFonts w:cstheme="minorHAnsi"/>
        </w:rPr>
        <w:t xml:space="preserve"> aumentaron un 3,5% y en 2022 por primera vez se realizan inversiones en </w:t>
      </w:r>
      <w:r w:rsidR="008337E8">
        <w:rPr>
          <w:rFonts w:cstheme="minorHAnsi"/>
        </w:rPr>
        <w:t>E</w:t>
      </w:r>
      <w:r w:rsidRPr="00A75633">
        <w:rPr>
          <w:rFonts w:cstheme="minorHAnsi"/>
        </w:rPr>
        <w:t>uros, aunque por un monto relativamente pequeño (un saldo equivalente de ₡148,6 millones al cierre de año).</w:t>
      </w:r>
    </w:p>
    <w:p w14:paraId="1A75A700" w14:textId="77777777"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18</w:t>
      </w:r>
    </w:p>
    <w:p w14:paraId="2E947A0D" w14:textId="669DA93B"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Rentabilidad de las inversiones </w:t>
      </w:r>
      <w:r w:rsidR="00472A7B">
        <w:rPr>
          <w:rFonts w:cstheme="minorHAnsi"/>
          <w:b/>
          <w:bCs/>
          <w:sz w:val="24"/>
          <w:szCs w:val="24"/>
        </w:rPr>
        <w:t>2</w:t>
      </w:r>
      <w:r w:rsidR="00472A7B" w:rsidRPr="00472A7B">
        <w:rPr>
          <w:rFonts w:cstheme="minorHAnsi"/>
          <w:b/>
          <w:bCs/>
          <w:sz w:val="24"/>
          <w:szCs w:val="24"/>
        </w:rPr>
        <w:t xml:space="preserve">018 - </w:t>
      </w:r>
      <w:r w:rsidRPr="00472A7B">
        <w:rPr>
          <w:rFonts w:cstheme="minorHAnsi"/>
          <w:b/>
          <w:bCs/>
          <w:sz w:val="24"/>
          <w:szCs w:val="24"/>
        </w:rPr>
        <w:t>2022</w:t>
      </w:r>
    </w:p>
    <w:p w14:paraId="77F8070A" w14:textId="77777777" w:rsidR="000C1588" w:rsidRDefault="0099407F" w:rsidP="00EE6F1C">
      <w:pPr>
        <w:spacing w:line="240" w:lineRule="auto"/>
        <w:rPr>
          <w:rFonts w:cstheme="minorHAnsi"/>
          <w:color w:val="595959" w:themeColor="text1" w:themeTint="A6"/>
          <w:sz w:val="20"/>
          <w:szCs w:val="20"/>
        </w:rPr>
      </w:pPr>
      <w:r w:rsidRPr="00FB7E5E">
        <w:rPr>
          <w:rFonts w:cstheme="minorHAnsi"/>
          <w:noProof/>
          <w:sz w:val="24"/>
        </w:rPr>
        <w:drawing>
          <wp:inline distT="0" distB="0" distL="0" distR="0" wp14:anchorId="3D17FB2A" wp14:editId="5E1710B3">
            <wp:extent cx="4977517" cy="253246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406" t="2693" r="1195" b="2875"/>
                    <a:stretch/>
                  </pic:blipFill>
                  <pic:spPr bwMode="auto">
                    <a:xfrm>
                      <a:off x="0" y="0"/>
                      <a:ext cx="4977517" cy="2532467"/>
                    </a:xfrm>
                    <a:prstGeom prst="rect">
                      <a:avLst/>
                    </a:prstGeom>
                    <a:noFill/>
                    <a:ln>
                      <a:noFill/>
                    </a:ln>
                    <a:extLst>
                      <a:ext uri="{53640926-AAD7-44D8-BBD7-CCE9431645EC}">
                        <a14:shadowObscured xmlns:a14="http://schemas.microsoft.com/office/drawing/2010/main"/>
                      </a:ext>
                    </a:extLst>
                  </pic:spPr>
                </pic:pic>
              </a:graphicData>
            </a:graphic>
          </wp:inline>
        </w:drawing>
      </w:r>
    </w:p>
    <w:p w14:paraId="7D23AE99" w14:textId="6DDDFB21" w:rsidR="0099407F" w:rsidRPr="00FB7E5E" w:rsidRDefault="0099407F" w:rsidP="00EE6F1C">
      <w:pPr>
        <w:spacing w:line="240" w:lineRule="auto"/>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2481D0D4" w14:textId="77777777" w:rsidR="00A75633" w:rsidRDefault="00A75633" w:rsidP="0099407F">
      <w:pPr>
        <w:spacing w:line="240" w:lineRule="auto"/>
        <w:jc w:val="both"/>
        <w:rPr>
          <w:rFonts w:cstheme="minorHAnsi"/>
          <w:sz w:val="24"/>
          <w:szCs w:val="24"/>
        </w:rPr>
      </w:pPr>
    </w:p>
    <w:p w14:paraId="5CEE1E17" w14:textId="0E57AEA7" w:rsidR="0099407F" w:rsidRPr="0076167D" w:rsidRDefault="0099407F" w:rsidP="0099407F">
      <w:pPr>
        <w:spacing w:line="240" w:lineRule="auto"/>
        <w:jc w:val="both"/>
        <w:rPr>
          <w:rFonts w:cstheme="minorHAnsi"/>
          <w:b/>
          <w:bCs/>
        </w:rPr>
      </w:pPr>
      <w:r w:rsidRPr="0076167D">
        <w:rPr>
          <w:rFonts w:cstheme="minorHAnsi"/>
        </w:rPr>
        <w:t>La rentabilidad del patrimonio a diciembre 2022 fue de 4,5% inferior al resultado del año previo de 12,8%. No obstante, tres entidades (Seguros de Magisterio, Quálitas y B</w:t>
      </w:r>
      <w:r w:rsidR="008337E8">
        <w:rPr>
          <w:rFonts w:cstheme="minorHAnsi"/>
        </w:rPr>
        <w:t>est Meridian)</w:t>
      </w:r>
      <w:r w:rsidRPr="0076167D">
        <w:rPr>
          <w:rFonts w:cstheme="minorHAnsi"/>
        </w:rPr>
        <w:t xml:space="preserve"> tuvieron un aumento en el indicador y únicamente Oceánica registró un ROE negativo. </w:t>
      </w:r>
    </w:p>
    <w:p w14:paraId="634AAEF6" w14:textId="77777777" w:rsidR="008B4C35" w:rsidRDefault="008B4C35" w:rsidP="0099407F">
      <w:pPr>
        <w:spacing w:after="0" w:line="240" w:lineRule="auto"/>
        <w:rPr>
          <w:rFonts w:cstheme="minorHAnsi"/>
          <w:b/>
          <w:bCs/>
          <w:sz w:val="24"/>
          <w:szCs w:val="24"/>
        </w:rPr>
      </w:pPr>
    </w:p>
    <w:p w14:paraId="36053199" w14:textId="47A36AF2"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Gráfico 19</w:t>
      </w:r>
    </w:p>
    <w:p w14:paraId="004C7AE0" w14:textId="091F61B5" w:rsidR="0099407F" w:rsidRPr="00FB7E5E" w:rsidRDefault="0099407F" w:rsidP="0099407F">
      <w:pPr>
        <w:spacing w:after="0" w:line="240" w:lineRule="auto"/>
        <w:rPr>
          <w:rFonts w:cstheme="minorHAnsi"/>
          <w:b/>
          <w:bCs/>
          <w:sz w:val="24"/>
          <w:szCs w:val="24"/>
        </w:rPr>
      </w:pPr>
      <w:r w:rsidRPr="00FB7E5E">
        <w:rPr>
          <w:rFonts w:cstheme="minorHAnsi"/>
          <w:b/>
          <w:bCs/>
          <w:sz w:val="24"/>
          <w:szCs w:val="24"/>
        </w:rPr>
        <w:t xml:space="preserve">Rentabilidad del patrimonio </w:t>
      </w:r>
      <w:r w:rsidR="00472A7B" w:rsidRPr="00472A7B">
        <w:rPr>
          <w:rFonts w:cstheme="minorHAnsi"/>
          <w:b/>
          <w:bCs/>
          <w:sz w:val="24"/>
          <w:szCs w:val="24"/>
        </w:rPr>
        <w:t xml:space="preserve">2018 - </w:t>
      </w:r>
      <w:r w:rsidRPr="00472A7B">
        <w:rPr>
          <w:rFonts w:cstheme="minorHAnsi"/>
          <w:b/>
          <w:bCs/>
          <w:sz w:val="24"/>
          <w:szCs w:val="24"/>
        </w:rPr>
        <w:t>2022</w:t>
      </w:r>
    </w:p>
    <w:p w14:paraId="11129102" w14:textId="77777777" w:rsidR="0099407F" w:rsidRPr="00FB7E5E" w:rsidRDefault="0099407F" w:rsidP="0099407F">
      <w:pPr>
        <w:spacing w:after="0" w:line="240" w:lineRule="auto"/>
        <w:rPr>
          <w:rFonts w:cstheme="minorHAnsi"/>
          <w:b/>
          <w:sz w:val="24"/>
          <w:szCs w:val="24"/>
        </w:rPr>
      </w:pPr>
    </w:p>
    <w:p w14:paraId="1051C4F6" w14:textId="77777777" w:rsidR="0099407F" w:rsidRPr="00FB7E5E" w:rsidRDefault="0099407F" w:rsidP="008B4C35">
      <w:pPr>
        <w:rPr>
          <w:rFonts w:cstheme="minorHAnsi"/>
        </w:rPr>
      </w:pPr>
      <w:r w:rsidRPr="00FB7E5E">
        <w:rPr>
          <w:rFonts w:cstheme="minorHAnsi"/>
          <w:noProof/>
        </w:rPr>
        <w:drawing>
          <wp:inline distT="0" distB="0" distL="0" distR="0" wp14:anchorId="374D4FC9" wp14:editId="359F8A62">
            <wp:extent cx="5080883" cy="3021080"/>
            <wp:effectExtent l="0" t="0" r="571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523" t="1771" r="1174" b="2076"/>
                    <a:stretch/>
                  </pic:blipFill>
                  <pic:spPr bwMode="auto">
                    <a:xfrm>
                      <a:off x="0" y="0"/>
                      <a:ext cx="5101625" cy="3033413"/>
                    </a:xfrm>
                    <a:prstGeom prst="rect">
                      <a:avLst/>
                    </a:prstGeom>
                    <a:noFill/>
                    <a:ln>
                      <a:noFill/>
                    </a:ln>
                    <a:extLst>
                      <a:ext uri="{53640926-AAD7-44D8-BBD7-CCE9431645EC}">
                        <a14:shadowObscured xmlns:a14="http://schemas.microsoft.com/office/drawing/2010/main"/>
                      </a:ext>
                    </a:extLst>
                  </pic:spPr>
                </pic:pic>
              </a:graphicData>
            </a:graphic>
          </wp:inline>
        </w:drawing>
      </w:r>
    </w:p>
    <w:p w14:paraId="2BFDBAEF" w14:textId="77777777" w:rsidR="0099407F" w:rsidRPr="00FB7E5E" w:rsidRDefault="0099407F" w:rsidP="0099407F">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3FF93D3F" w14:textId="77777777" w:rsidR="0099407F" w:rsidRPr="00FB7E5E" w:rsidRDefault="0099407F" w:rsidP="0099407F">
      <w:pPr>
        <w:pStyle w:val="Prrafodelista"/>
        <w:spacing w:line="240" w:lineRule="auto"/>
        <w:ind w:left="1440"/>
        <w:jc w:val="both"/>
        <w:rPr>
          <w:rFonts w:cstheme="minorHAnsi"/>
          <w:sz w:val="24"/>
        </w:rPr>
      </w:pPr>
    </w:p>
    <w:p w14:paraId="184812E0" w14:textId="44D3F7D6" w:rsidR="008B4C35" w:rsidRDefault="008B4C35">
      <w:pPr>
        <w:rPr>
          <w:rFonts w:cstheme="minorHAnsi"/>
          <w:sz w:val="24"/>
        </w:rPr>
      </w:pPr>
      <w:r>
        <w:rPr>
          <w:rFonts w:cstheme="minorHAnsi"/>
          <w:sz w:val="24"/>
        </w:rPr>
        <w:br w:type="page"/>
      </w:r>
    </w:p>
    <w:p w14:paraId="7D30DD0A" w14:textId="00BDC4E7" w:rsidR="009D2BA6" w:rsidRPr="009D2BA6" w:rsidRDefault="0072723A" w:rsidP="009D2BA6">
      <w:pPr>
        <w:pStyle w:val="Prrafodelista"/>
        <w:numPr>
          <w:ilvl w:val="1"/>
          <w:numId w:val="48"/>
        </w:numPr>
        <w:spacing w:after="0" w:line="240" w:lineRule="auto"/>
        <w:rPr>
          <w:rFonts w:cstheme="minorHAnsi"/>
          <w:b/>
          <w:bCs/>
          <w:sz w:val="24"/>
          <w:szCs w:val="24"/>
        </w:rPr>
      </w:pPr>
      <w:r>
        <w:rPr>
          <w:rFonts w:cstheme="minorHAnsi"/>
          <w:b/>
          <w:bCs/>
          <w:sz w:val="24"/>
          <w:szCs w:val="24"/>
        </w:rPr>
        <w:lastRenderedPageBreak/>
        <w:t>Resultados Técnicos y F</w:t>
      </w:r>
      <w:r w:rsidR="009D2BA6" w:rsidRPr="009D2BA6">
        <w:rPr>
          <w:rFonts w:cstheme="minorHAnsi"/>
          <w:b/>
          <w:bCs/>
          <w:sz w:val="24"/>
          <w:szCs w:val="24"/>
        </w:rPr>
        <w:t>inanciero</w:t>
      </w:r>
      <w:r w:rsidR="002764F3">
        <w:rPr>
          <w:rFonts w:cstheme="minorHAnsi"/>
          <w:b/>
          <w:bCs/>
          <w:sz w:val="24"/>
          <w:szCs w:val="24"/>
        </w:rPr>
        <w:t>s</w:t>
      </w:r>
    </w:p>
    <w:p w14:paraId="76B9C658" w14:textId="77777777" w:rsidR="00E769AB" w:rsidRPr="0076167D" w:rsidRDefault="00E769AB" w:rsidP="00E769AB">
      <w:pPr>
        <w:autoSpaceDE w:val="0"/>
        <w:autoSpaceDN w:val="0"/>
        <w:adjustRightInd w:val="0"/>
        <w:spacing w:after="0" w:line="240" w:lineRule="auto"/>
        <w:ind w:right="170"/>
        <w:jc w:val="both"/>
        <w:rPr>
          <w:rFonts w:cstheme="minorHAnsi"/>
        </w:rPr>
      </w:pPr>
      <w:r w:rsidRPr="0076167D">
        <w:rPr>
          <w:rFonts w:cstheme="minorHAnsi"/>
        </w:rPr>
        <w:t>A continuación, se observan los resultados técnicos y financieros para el mercado total, separados también en obligatorios y voluntarios, de los últimos cinco periodos anuales</w:t>
      </w:r>
      <w:r w:rsidRPr="0076167D">
        <w:rPr>
          <w:rStyle w:val="Refdenotaalpie"/>
          <w:rFonts w:cstheme="minorHAnsi"/>
          <w:szCs w:val="24"/>
        </w:rPr>
        <w:footnoteReference w:id="3"/>
      </w:r>
      <w:r w:rsidRPr="0076167D">
        <w:rPr>
          <w:rFonts w:cstheme="minorHAnsi"/>
        </w:rPr>
        <w:t>:</w:t>
      </w:r>
    </w:p>
    <w:p w14:paraId="4FFB0E23" w14:textId="77777777" w:rsidR="00E769AB" w:rsidRPr="00FB7E5E" w:rsidRDefault="00E769AB" w:rsidP="00E769AB">
      <w:pPr>
        <w:autoSpaceDE w:val="0"/>
        <w:autoSpaceDN w:val="0"/>
        <w:adjustRightInd w:val="0"/>
        <w:spacing w:after="0" w:line="240" w:lineRule="auto"/>
        <w:jc w:val="both"/>
        <w:rPr>
          <w:rFonts w:cstheme="minorHAnsi"/>
          <w:sz w:val="20"/>
          <w:szCs w:val="20"/>
        </w:rPr>
      </w:pPr>
    </w:p>
    <w:p w14:paraId="6D5A2B68" w14:textId="7B859C84" w:rsidR="00E769AB" w:rsidRPr="009F627C" w:rsidRDefault="00E769AB" w:rsidP="00E769AB">
      <w:pPr>
        <w:spacing w:after="0" w:line="240" w:lineRule="auto"/>
        <w:ind w:right="596"/>
        <w:rPr>
          <w:rFonts w:cstheme="minorHAnsi"/>
          <w:b/>
          <w:sz w:val="24"/>
          <w:szCs w:val="24"/>
        </w:rPr>
      </w:pPr>
      <w:r w:rsidRPr="009F627C">
        <w:rPr>
          <w:rFonts w:cstheme="minorHAnsi"/>
          <w:b/>
          <w:sz w:val="24"/>
          <w:szCs w:val="24"/>
        </w:rPr>
        <w:t>Gráfico 2</w:t>
      </w:r>
      <w:r w:rsidR="00E210BE" w:rsidRPr="009F627C">
        <w:rPr>
          <w:rFonts w:cstheme="minorHAnsi"/>
          <w:b/>
          <w:sz w:val="24"/>
          <w:szCs w:val="24"/>
        </w:rPr>
        <w:t>0</w:t>
      </w:r>
    </w:p>
    <w:p w14:paraId="374014B1" w14:textId="77777777" w:rsidR="00E769AB" w:rsidRPr="009F627C" w:rsidRDefault="00E769AB" w:rsidP="00E769AB">
      <w:pPr>
        <w:spacing w:after="0" w:line="240" w:lineRule="auto"/>
        <w:ind w:right="596"/>
        <w:rPr>
          <w:rFonts w:cstheme="minorHAnsi"/>
          <w:b/>
          <w:sz w:val="24"/>
          <w:szCs w:val="24"/>
        </w:rPr>
      </w:pPr>
      <w:r w:rsidRPr="009F627C">
        <w:rPr>
          <w:rFonts w:cstheme="minorHAnsi"/>
          <w:b/>
          <w:sz w:val="24"/>
          <w:szCs w:val="24"/>
        </w:rPr>
        <w:t>Costa Rica: Resultado técnico del mercado de seguros según tipo, 2018 – 2022</w:t>
      </w:r>
    </w:p>
    <w:p w14:paraId="306690F6" w14:textId="77777777" w:rsidR="00E769AB" w:rsidRPr="00B04F96" w:rsidRDefault="00E769AB" w:rsidP="00E769AB">
      <w:pPr>
        <w:autoSpaceDE w:val="0"/>
        <w:autoSpaceDN w:val="0"/>
        <w:adjustRightInd w:val="0"/>
        <w:spacing w:after="0" w:line="240" w:lineRule="auto"/>
        <w:jc w:val="both"/>
        <w:rPr>
          <w:rFonts w:cstheme="minorHAnsi"/>
          <w:sz w:val="20"/>
          <w:szCs w:val="20"/>
        </w:rPr>
      </w:pPr>
      <w:r w:rsidRPr="00B04F96">
        <w:rPr>
          <w:rFonts w:cstheme="minorHAnsi"/>
          <w:sz w:val="20"/>
          <w:szCs w:val="20"/>
        </w:rPr>
        <w:t>(miles de millones corrientes)</w:t>
      </w:r>
    </w:p>
    <w:p w14:paraId="69D3EBDB" w14:textId="77777777" w:rsidR="00E769AB" w:rsidRPr="00FB7E5E" w:rsidRDefault="00E769AB" w:rsidP="00E769AB">
      <w:pPr>
        <w:autoSpaceDE w:val="0"/>
        <w:autoSpaceDN w:val="0"/>
        <w:adjustRightInd w:val="0"/>
        <w:spacing w:after="0" w:line="240" w:lineRule="auto"/>
        <w:jc w:val="both"/>
        <w:rPr>
          <w:rFonts w:cstheme="minorHAnsi"/>
          <w:sz w:val="20"/>
          <w:szCs w:val="20"/>
        </w:rPr>
      </w:pPr>
      <w:r w:rsidRPr="00FB7E5E">
        <w:rPr>
          <w:rFonts w:cstheme="minorHAnsi"/>
          <w:noProof/>
        </w:rPr>
        <w:drawing>
          <wp:inline distT="0" distB="0" distL="0" distR="0" wp14:anchorId="46716C4B" wp14:editId="60C86304">
            <wp:extent cx="6176846" cy="2277633"/>
            <wp:effectExtent l="0" t="0" r="0" b="889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996" r="596" b="1"/>
                    <a:stretch/>
                  </pic:blipFill>
                  <pic:spPr bwMode="auto">
                    <a:xfrm>
                      <a:off x="0" y="0"/>
                      <a:ext cx="6176846" cy="2277633"/>
                    </a:xfrm>
                    <a:prstGeom prst="rect">
                      <a:avLst/>
                    </a:prstGeom>
                    <a:ln>
                      <a:noFill/>
                    </a:ln>
                    <a:extLst>
                      <a:ext uri="{53640926-AAD7-44D8-BBD7-CCE9431645EC}">
                        <a14:shadowObscured xmlns:a14="http://schemas.microsoft.com/office/drawing/2010/main"/>
                      </a:ext>
                    </a:extLst>
                  </pic:spPr>
                </pic:pic>
              </a:graphicData>
            </a:graphic>
          </wp:inline>
        </w:drawing>
      </w:r>
    </w:p>
    <w:p w14:paraId="020C1D22" w14:textId="77777777" w:rsidR="00E769AB" w:rsidRPr="00FB09F4" w:rsidRDefault="00E769AB" w:rsidP="00FB09F4">
      <w:pPr>
        <w:spacing w:after="0" w:line="240" w:lineRule="auto"/>
        <w:ind w:right="142"/>
        <w:rPr>
          <w:rFonts w:cstheme="minorHAnsi"/>
          <w:color w:val="595959" w:themeColor="text1" w:themeTint="A6"/>
          <w:sz w:val="20"/>
          <w:szCs w:val="20"/>
        </w:rPr>
      </w:pPr>
      <w:r w:rsidRPr="00FB09F4">
        <w:rPr>
          <w:rFonts w:cstheme="minorHAnsi"/>
          <w:color w:val="595959" w:themeColor="text1" w:themeTint="A6"/>
          <w:sz w:val="20"/>
          <w:szCs w:val="20"/>
        </w:rPr>
        <w:t>Fuente: Superintendencia General de Seguros con base en la información proporcionada por las aseguradoras.</w:t>
      </w:r>
    </w:p>
    <w:p w14:paraId="25C65C66" w14:textId="77777777" w:rsidR="00E769AB" w:rsidRPr="00FB7E5E" w:rsidRDefault="00E769AB" w:rsidP="00E769AB">
      <w:pPr>
        <w:spacing w:after="0" w:line="240" w:lineRule="auto"/>
        <w:rPr>
          <w:rFonts w:cstheme="minorHAnsi"/>
          <w:sz w:val="20"/>
          <w:szCs w:val="20"/>
        </w:rPr>
      </w:pPr>
    </w:p>
    <w:p w14:paraId="45D36DA1" w14:textId="77777777" w:rsidR="00E769AB" w:rsidRPr="00FB7E5E" w:rsidRDefault="00E769AB" w:rsidP="00E769AB">
      <w:pPr>
        <w:spacing w:after="0" w:line="240" w:lineRule="auto"/>
        <w:rPr>
          <w:rFonts w:cstheme="minorHAnsi"/>
          <w:sz w:val="20"/>
          <w:szCs w:val="20"/>
        </w:rPr>
      </w:pPr>
    </w:p>
    <w:p w14:paraId="5B218949" w14:textId="77777777" w:rsidR="00E769AB" w:rsidRPr="00FB7E5E" w:rsidRDefault="00E769AB" w:rsidP="00E769AB">
      <w:pPr>
        <w:spacing w:after="0" w:line="240" w:lineRule="auto"/>
        <w:rPr>
          <w:rFonts w:cstheme="minorHAnsi"/>
          <w:sz w:val="20"/>
          <w:szCs w:val="20"/>
        </w:rPr>
      </w:pPr>
    </w:p>
    <w:p w14:paraId="0553A6D6" w14:textId="549CF849" w:rsidR="00E769AB" w:rsidRPr="00C218BC" w:rsidRDefault="00E769AB" w:rsidP="00E769AB">
      <w:pPr>
        <w:spacing w:after="0" w:line="240" w:lineRule="auto"/>
        <w:ind w:right="596"/>
        <w:rPr>
          <w:rFonts w:cstheme="minorHAnsi"/>
          <w:b/>
          <w:sz w:val="24"/>
          <w:szCs w:val="24"/>
        </w:rPr>
      </w:pPr>
      <w:r w:rsidRPr="00C218BC">
        <w:rPr>
          <w:rFonts w:cstheme="minorHAnsi"/>
          <w:b/>
          <w:sz w:val="24"/>
          <w:szCs w:val="24"/>
        </w:rPr>
        <w:t xml:space="preserve">Gráfico </w:t>
      </w:r>
      <w:r w:rsidR="00E210BE" w:rsidRPr="00C218BC">
        <w:rPr>
          <w:rFonts w:cstheme="minorHAnsi"/>
          <w:b/>
          <w:sz w:val="24"/>
          <w:szCs w:val="24"/>
        </w:rPr>
        <w:t>2</w:t>
      </w:r>
      <w:r w:rsidRPr="00C218BC">
        <w:rPr>
          <w:rFonts w:cstheme="minorHAnsi"/>
          <w:b/>
          <w:sz w:val="24"/>
          <w:szCs w:val="24"/>
        </w:rPr>
        <w:t>1</w:t>
      </w:r>
    </w:p>
    <w:p w14:paraId="75340461" w14:textId="2D5B5C03" w:rsidR="00E769AB" w:rsidRPr="00C218BC" w:rsidRDefault="00E769AB" w:rsidP="00E769AB">
      <w:pPr>
        <w:spacing w:after="0" w:line="240" w:lineRule="auto"/>
        <w:ind w:right="596"/>
        <w:rPr>
          <w:rFonts w:cstheme="minorHAnsi"/>
          <w:b/>
          <w:sz w:val="24"/>
          <w:szCs w:val="24"/>
        </w:rPr>
      </w:pPr>
      <w:r w:rsidRPr="00C218BC">
        <w:rPr>
          <w:rFonts w:cstheme="minorHAnsi"/>
          <w:b/>
          <w:sz w:val="24"/>
          <w:szCs w:val="24"/>
        </w:rPr>
        <w:t>Resultado financiero del mercado de seguros según tipo, 2018 – 2022</w:t>
      </w:r>
    </w:p>
    <w:p w14:paraId="6798F69F" w14:textId="77777777" w:rsidR="00E769AB" w:rsidRPr="00B04F96" w:rsidRDefault="00E769AB" w:rsidP="00E769AB">
      <w:pPr>
        <w:autoSpaceDE w:val="0"/>
        <w:autoSpaceDN w:val="0"/>
        <w:adjustRightInd w:val="0"/>
        <w:spacing w:after="0" w:line="240" w:lineRule="auto"/>
        <w:jc w:val="both"/>
        <w:rPr>
          <w:rFonts w:cstheme="minorHAnsi"/>
          <w:sz w:val="20"/>
          <w:szCs w:val="20"/>
        </w:rPr>
      </w:pPr>
      <w:r w:rsidRPr="00B04F96">
        <w:rPr>
          <w:rFonts w:cstheme="minorHAnsi"/>
          <w:sz w:val="20"/>
          <w:szCs w:val="20"/>
        </w:rPr>
        <w:t>(miles de millones corrientes)</w:t>
      </w:r>
    </w:p>
    <w:p w14:paraId="723A157D" w14:textId="77777777" w:rsidR="00E769AB" w:rsidRPr="00FB7E5E" w:rsidRDefault="00E769AB" w:rsidP="00E769AB">
      <w:pPr>
        <w:spacing w:after="0" w:line="240" w:lineRule="auto"/>
        <w:rPr>
          <w:rFonts w:cstheme="minorHAnsi"/>
          <w:sz w:val="20"/>
          <w:szCs w:val="20"/>
        </w:rPr>
      </w:pPr>
      <w:r w:rsidRPr="00FB7E5E">
        <w:rPr>
          <w:rFonts w:cstheme="minorHAnsi"/>
          <w:noProof/>
        </w:rPr>
        <w:drawing>
          <wp:inline distT="0" distB="0" distL="0" distR="0" wp14:anchorId="26CD7B9D" wp14:editId="5635A780">
            <wp:extent cx="6318971" cy="2355002"/>
            <wp:effectExtent l="0" t="0" r="5715" b="762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r="392"/>
                    <a:stretch/>
                  </pic:blipFill>
                  <pic:spPr bwMode="auto">
                    <a:xfrm>
                      <a:off x="0" y="0"/>
                      <a:ext cx="6337913" cy="2362061"/>
                    </a:xfrm>
                    <a:prstGeom prst="rect">
                      <a:avLst/>
                    </a:prstGeom>
                    <a:ln>
                      <a:noFill/>
                    </a:ln>
                    <a:extLst>
                      <a:ext uri="{53640926-AAD7-44D8-BBD7-CCE9431645EC}">
                        <a14:shadowObscured xmlns:a14="http://schemas.microsoft.com/office/drawing/2010/main"/>
                      </a:ext>
                    </a:extLst>
                  </pic:spPr>
                </pic:pic>
              </a:graphicData>
            </a:graphic>
          </wp:inline>
        </w:drawing>
      </w:r>
    </w:p>
    <w:p w14:paraId="3957538C" w14:textId="77777777" w:rsidR="00E769AB" w:rsidRPr="00FB09F4" w:rsidRDefault="00E769AB" w:rsidP="00FB09F4">
      <w:pPr>
        <w:spacing w:after="0" w:line="240" w:lineRule="auto"/>
        <w:ind w:right="142"/>
        <w:rPr>
          <w:rFonts w:cstheme="minorHAnsi"/>
          <w:color w:val="595959" w:themeColor="text1" w:themeTint="A6"/>
          <w:sz w:val="20"/>
          <w:szCs w:val="20"/>
        </w:rPr>
      </w:pPr>
      <w:r w:rsidRPr="00FB09F4">
        <w:rPr>
          <w:rFonts w:cstheme="minorHAnsi"/>
          <w:color w:val="595959" w:themeColor="text1" w:themeTint="A6"/>
          <w:sz w:val="20"/>
          <w:szCs w:val="20"/>
        </w:rPr>
        <w:t>Fuente: Superintendencia General de Seguros con base en la información proporcionada por las aseguradoras.</w:t>
      </w:r>
    </w:p>
    <w:p w14:paraId="65ACE01D" w14:textId="77777777" w:rsidR="00E769AB" w:rsidRPr="00C218BC" w:rsidRDefault="00E769AB" w:rsidP="00E769AB">
      <w:pPr>
        <w:rPr>
          <w:rFonts w:cstheme="minorHAnsi"/>
          <w:sz w:val="24"/>
          <w:szCs w:val="24"/>
        </w:rPr>
      </w:pPr>
    </w:p>
    <w:p w14:paraId="341E9DEA" w14:textId="043BF325" w:rsidR="00E769AB" w:rsidRPr="00C218BC" w:rsidRDefault="00E769AB" w:rsidP="00E769AB">
      <w:pPr>
        <w:spacing w:after="0" w:line="240" w:lineRule="auto"/>
        <w:ind w:right="596"/>
        <w:rPr>
          <w:rFonts w:cstheme="minorHAnsi"/>
          <w:b/>
          <w:sz w:val="24"/>
          <w:szCs w:val="24"/>
        </w:rPr>
      </w:pPr>
      <w:r w:rsidRPr="00C218BC">
        <w:rPr>
          <w:rFonts w:cstheme="minorHAnsi"/>
          <w:b/>
          <w:sz w:val="24"/>
          <w:szCs w:val="24"/>
        </w:rPr>
        <w:t xml:space="preserve">Gráfico </w:t>
      </w:r>
      <w:r w:rsidR="00E210BE" w:rsidRPr="00C218BC">
        <w:rPr>
          <w:rFonts w:cstheme="minorHAnsi"/>
          <w:b/>
          <w:sz w:val="24"/>
          <w:szCs w:val="24"/>
        </w:rPr>
        <w:t>22</w:t>
      </w:r>
    </w:p>
    <w:p w14:paraId="159CEAA2" w14:textId="07C8EA2C" w:rsidR="00E769AB" w:rsidRPr="00C218BC" w:rsidRDefault="00C218BC" w:rsidP="00C218BC">
      <w:pPr>
        <w:spacing w:after="0" w:line="240" w:lineRule="auto"/>
        <w:ind w:right="425"/>
        <w:rPr>
          <w:rFonts w:cstheme="minorHAnsi"/>
          <w:b/>
          <w:sz w:val="24"/>
          <w:szCs w:val="24"/>
        </w:rPr>
      </w:pPr>
      <w:r>
        <w:rPr>
          <w:rFonts w:cstheme="minorHAnsi"/>
          <w:b/>
          <w:sz w:val="24"/>
          <w:szCs w:val="24"/>
        </w:rPr>
        <w:t>R</w:t>
      </w:r>
      <w:r w:rsidR="00E769AB" w:rsidRPr="00C218BC">
        <w:rPr>
          <w:rFonts w:cstheme="minorHAnsi"/>
          <w:b/>
          <w:sz w:val="24"/>
          <w:szCs w:val="24"/>
        </w:rPr>
        <w:t>esultado técnico-financiero del mercado de seguros según tipo, 2018 – 2022</w:t>
      </w:r>
    </w:p>
    <w:p w14:paraId="3FE20D69" w14:textId="77777777" w:rsidR="00E769AB" w:rsidRPr="00B04F96" w:rsidRDefault="00E769AB" w:rsidP="00E769AB">
      <w:pPr>
        <w:autoSpaceDE w:val="0"/>
        <w:autoSpaceDN w:val="0"/>
        <w:adjustRightInd w:val="0"/>
        <w:spacing w:after="0" w:line="240" w:lineRule="auto"/>
        <w:jc w:val="both"/>
        <w:rPr>
          <w:rFonts w:cstheme="minorHAnsi"/>
          <w:sz w:val="20"/>
          <w:szCs w:val="20"/>
        </w:rPr>
      </w:pPr>
      <w:r w:rsidRPr="00B04F96">
        <w:rPr>
          <w:rFonts w:cstheme="minorHAnsi"/>
          <w:sz w:val="20"/>
          <w:szCs w:val="20"/>
        </w:rPr>
        <w:t>(miles de millones corrientes)</w:t>
      </w:r>
    </w:p>
    <w:p w14:paraId="5E2956B3" w14:textId="77777777" w:rsidR="00E769AB" w:rsidRPr="00FB7E5E" w:rsidRDefault="00E769AB" w:rsidP="00E769AB">
      <w:pPr>
        <w:spacing w:after="0" w:line="240" w:lineRule="auto"/>
        <w:rPr>
          <w:rFonts w:cstheme="minorHAnsi"/>
          <w:sz w:val="20"/>
          <w:szCs w:val="20"/>
        </w:rPr>
      </w:pPr>
      <w:r w:rsidRPr="00FB7E5E">
        <w:rPr>
          <w:rFonts w:cstheme="minorHAnsi"/>
          <w:noProof/>
        </w:rPr>
        <w:drawing>
          <wp:inline distT="0" distB="0" distL="0" distR="0" wp14:anchorId="4ABBF939" wp14:editId="77042835">
            <wp:extent cx="6209637" cy="2412579"/>
            <wp:effectExtent l="0" t="0" r="1270" b="6985"/>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r="711"/>
                    <a:stretch/>
                  </pic:blipFill>
                  <pic:spPr bwMode="auto">
                    <a:xfrm>
                      <a:off x="0" y="0"/>
                      <a:ext cx="6229593" cy="2420332"/>
                    </a:xfrm>
                    <a:prstGeom prst="rect">
                      <a:avLst/>
                    </a:prstGeom>
                    <a:ln>
                      <a:noFill/>
                    </a:ln>
                    <a:extLst>
                      <a:ext uri="{53640926-AAD7-44D8-BBD7-CCE9431645EC}">
                        <a14:shadowObscured xmlns:a14="http://schemas.microsoft.com/office/drawing/2010/main"/>
                      </a:ext>
                    </a:extLst>
                  </pic:spPr>
                </pic:pic>
              </a:graphicData>
            </a:graphic>
          </wp:inline>
        </w:drawing>
      </w:r>
    </w:p>
    <w:p w14:paraId="72EFFDE5" w14:textId="77777777" w:rsidR="00E769AB" w:rsidRPr="00FB09F4" w:rsidRDefault="00E769AB" w:rsidP="00FB09F4">
      <w:pPr>
        <w:spacing w:after="0" w:line="240" w:lineRule="auto"/>
        <w:ind w:right="284"/>
        <w:rPr>
          <w:rFonts w:cstheme="minorHAnsi"/>
          <w:color w:val="595959" w:themeColor="text1" w:themeTint="A6"/>
          <w:sz w:val="20"/>
          <w:szCs w:val="20"/>
        </w:rPr>
      </w:pPr>
      <w:r w:rsidRPr="00FB09F4">
        <w:rPr>
          <w:rFonts w:cstheme="minorHAnsi"/>
          <w:color w:val="595959" w:themeColor="text1" w:themeTint="A6"/>
          <w:sz w:val="20"/>
          <w:szCs w:val="20"/>
        </w:rPr>
        <w:t>Fuente: Superintendencia General de Seguros con base en la información proporcionada por las aseguradoras.</w:t>
      </w:r>
    </w:p>
    <w:p w14:paraId="7BEC3778" w14:textId="77777777" w:rsidR="00E769AB" w:rsidRPr="00FB7E5E" w:rsidRDefault="00E769AB" w:rsidP="00E769AB">
      <w:pPr>
        <w:spacing w:after="0" w:line="240" w:lineRule="auto"/>
        <w:rPr>
          <w:rFonts w:cstheme="minorHAnsi"/>
          <w:sz w:val="20"/>
          <w:szCs w:val="20"/>
        </w:rPr>
      </w:pPr>
    </w:p>
    <w:p w14:paraId="3018EB69" w14:textId="77777777" w:rsidR="00E769AB" w:rsidRPr="00FB7E5E" w:rsidRDefault="00E769AB" w:rsidP="00E769AB">
      <w:pPr>
        <w:autoSpaceDE w:val="0"/>
        <w:autoSpaceDN w:val="0"/>
        <w:adjustRightInd w:val="0"/>
        <w:spacing w:after="0" w:line="240" w:lineRule="auto"/>
        <w:jc w:val="both"/>
        <w:rPr>
          <w:rFonts w:cstheme="minorHAnsi"/>
          <w:sz w:val="20"/>
          <w:szCs w:val="20"/>
        </w:rPr>
      </w:pPr>
    </w:p>
    <w:p w14:paraId="2C0AEF8A" w14:textId="1B84C82E" w:rsidR="00E769AB" w:rsidRPr="00A75633" w:rsidRDefault="00E769AB" w:rsidP="00E769AB">
      <w:pPr>
        <w:autoSpaceDE w:val="0"/>
        <w:autoSpaceDN w:val="0"/>
        <w:adjustRightInd w:val="0"/>
        <w:spacing w:after="0" w:line="240" w:lineRule="auto"/>
        <w:ind w:right="170"/>
        <w:jc w:val="both"/>
        <w:rPr>
          <w:rFonts w:cstheme="minorHAnsi"/>
        </w:rPr>
      </w:pPr>
      <w:r w:rsidRPr="00472A7B">
        <w:rPr>
          <w:rFonts w:cstheme="minorHAnsi"/>
        </w:rPr>
        <w:t xml:space="preserve">A nivel agregado el resultado técnico del mercado para 2022 es de </w:t>
      </w:r>
      <w:r w:rsidRPr="00472A7B">
        <w:rPr>
          <w:rFonts w:cstheme="minorHAnsi"/>
          <w:color w:val="000000" w:themeColor="text1"/>
        </w:rPr>
        <w:t>₡</w:t>
      </w:r>
      <w:r w:rsidRPr="00472A7B">
        <w:rPr>
          <w:rFonts w:cstheme="minorHAnsi"/>
          <w:color w:val="000000" w:themeColor="text1"/>
          <w:lang w:val="es-ES"/>
        </w:rPr>
        <w:t xml:space="preserve"> 25,7</w:t>
      </w:r>
      <w:r w:rsidRPr="00472A7B">
        <w:rPr>
          <w:rFonts w:cstheme="minorHAnsi"/>
        </w:rPr>
        <w:t xml:space="preserve"> mil millones,</w:t>
      </w:r>
      <w:r w:rsidRPr="00A75633">
        <w:rPr>
          <w:rFonts w:cstheme="minorHAnsi"/>
        </w:rPr>
        <w:t xml:space="preserve"> lo cual es un balance positivo para el sector</w:t>
      </w:r>
      <w:r w:rsidR="008337E8">
        <w:rPr>
          <w:rFonts w:cstheme="minorHAnsi"/>
        </w:rPr>
        <w:t>. S</w:t>
      </w:r>
      <w:r w:rsidRPr="00A75633">
        <w:rPr>
          <w:rFonts w:cstheme="minorHAnsi"/>
        </w:rPr>
        <w:t>in embargo</w:t>
      </w:r>
      <w:r w:rsidR="008337E8">
        <w:rPr>
          <w:rFonts w:cstheme="minorHAnsi"/>
        </w:rPr>
        <w:t>,</w:t>
      </w:r>
      <w:r w:rsidRPr="00A75633">
        <w:rPr>
          <w:rFonts w:cstheme="minorHAnsi"/>
        </w:rPr>
        <w:t xml:space="preserve"> esta cifra es inferior a la registrada en 2021</w:t>
      </w:r>
      <w:r w:rsidR="008337E8">
        <w:rPr>
          <w:rFonts w:cstheme="minorHAnsi"/>
        </w:rPr>
        <w:t>,</w:t>
      </w:r>
      <w:r w:rsidRPr="00A75633">
        <w:rPr>
          <w:rFonts w:cstheme="minorHAnsi"/>
        </w:rPr>
        <w:t xml:space="preserve"> cuando el monto rondó los </w:t>
      </w:r>
      <w:r w:rsidRPr="00A75633">
        <w:rPr>
          <w:rFonts w:cstheme="minorHAnsi"/>
          <w:color w:val="000000" w:themeColor="text1"/>
        </w:rPr>
        <w:t>₡</w:t>
      </w:r>
      <w:r w:rsidRPr="00A75633">
        <w:rPr>
          <w:rFonts w:cstheme="minorHAnsi"/>
          <w:color w:val="000000" w:themeColor="text1"/>
          <w:lang w:val="es-ES"/>
        </w:rPr>
        <w:t xml:space="preserve"> 64,0</w:t>
      </w:r>
      <w:r w:rsidRPr="00A75633">
        <w:rPr>
          <w:rFonts w:cstheme="minorHAnsi"/>
        </w:rPr>
        <w:t xml:space="preserve"> mil millones. Esta baja del 59%</w:t>
      </w:r>
      <w:r w:rsidR="008337E8">
        <w:rPr>
          <w:rFonts w:cstheme="minorHAnsi"/>
        </w:rPr>
        <w:t>,</w:t>
      </w:r>
      <w:r w:rsidRPr="00A75633">
        <w:rPr>
          <w:rFonts w:cstheme="minorHAnsi"/>
        </w:rPr>
        <w:t xml:space="preserve"> responde a una variación positiva en los seguros voluntarios que fue contrarrestad</w:t>
      </w:r>
      <w:r w:rsidR="008337E8">
        <w:rPr>
          <w:rFonts w:cstheme="minorHAnsi"/>
        </w:rPr>
        <w:t>a</w:t>
      </w:r>
      <w:r w:rsidRPr="00A75633">
        <w:rPr>
          <w:rFonts w:cstheme="minorHAnsi"/>
        </w:rPr>
        <w:t xml:space="preserve"> con una fuerte variación negativa de los seguros obligatorios.</w:t>
      </w:r>
    </w:p>
    <w:p w14:paraId="3A9438A8" w14:textId="77777777" w:rsidR="00E769AB" w:rsidRPr="00A75633" w:rsidRDefault="00E769AB" w:rsidP="00E769AB">
      <w:pPr>
        <w:autoSpaceDE w:val="0"/>
        <w:autoSpaceDN w:val="0"/>
        <w:adjustRightInd w:val="0"/>
        <w:spacing w:after="0" w:line="240" w:lineRule="auto"/>
        <w:ind w:right="170"/>
        <w:jc w:val="both"/>
        <w:rPr>
          <w:rFonts w:cstheme="minorHAnsi"/>
        </w:rPr>
      </w:pPr>
    </w:p>
    <w:p w14:paraId="634E4F5C" w14:textId="77777777" w:rsidR="00E769AB" w:rsidRPr="00A75633" w:rsidRDefault="00E769AB" w:rsidP="00E769AB">
      <w:pPr>
        <w:autoSpaceDE w:val="0"/>
        <w:autoSpaceDN w:val="0"/>
        <w:adjustRightInd w:val="0"/>
        <w:spacing w:after="0" w:line="240" w:lineRule="auto"/>
        <w:ind w:right="170"/>
        <w:jc w:val="both"/>
        <w:rPr>
          <w:rFonts w:cstheme="minorHAnsi"/>
        </w:rPr>
      </w:pPr>
      <w:r w:rsidRPr="00A75633">
        <w:rPr>
          <w:rFonts w:cstheme="minorHAnsi"/>
        </w:rPr>
        <w:t xml:space="preserve">Los datos revelan que el resultado técnico de los seguros obligatorios desmejoró, al regresar a magnitudes negativas, tendencia que se revirtió temporalmente en el 2022, ya que en los cuatro periodos previos había mostrado cifras menores a cero. Por su lado, los seguros voluntarios reflejan una mejoría para el 2022, pasando de un resultado técnico de </w:t>
      </w:r>
      <w:r w:rsidRPr="00A75633">
        <w:rPr>
          <w:rFonts w:cstheme="minorHAnsi"/>
          <w:color w:val="000000" w:themeColor="text1"/>
        </w:rPr>
        <w:t xml:space="preserve">₡ </w:t>
      </w:r>
      <w:r w:rsidRPr="00A75633">
        <w:rPr>
          <w:rFonts w:cstheme="minorHAnsi"/>
          <w:color w:val="000000" w:themeColor="text1"/>
          <w:lang w:val="es-ES"/>
        </w:rPr>
        <w:t>5</w:t>
      </w:r>
      <w:r w:rsidRPr="00A75633">
        <w:rPr>
          <w:rFonts w:cstheme="minorHAnsi"/>
        </w:rPr>
        <w:t xml:space="preserve">5 mil millones en 2021 a </w:t>
      </w:r>
      <w:r w:rsidRPr="00A75633">
        <w:rPr>
          <w:rFonts w:cstheme="minorHAnsi"/>
          <w:color w:val="000000" w:themeColor="text1"/>
        </w:rPr>
        <w:t xml:space="preserve">₡ </w:t>
      </w:r>
      <w:r w:rsidRPr="00A75633">
        <w:rPr>
          <w:rFonts w:cstheme="minorHAnsi"/>
          <w:color w:val="000000" w:themeColor="text1"/>
          <w:lang w:val="es-ES"/>
        </w:rPr>
        <w:t>63</w:t>
      </w:r>
      <w:r w:rsidRPr="00A75633">
        <w:rPr>
          <w:rFonts w:cstheme="minorHAnsi"/>
        </w:rPr>
        <w:t xml:space="preserve"> mil millones para el 2022. </w:t>
      </w:r>
    </w:p>
    <w:p w14:paraId="4E475D74" w14:textId="77777777" w:rsidR="00E769AB" w:rsidRPr="00A75633" w:rsidRDefault="00E769AB" w:rsidP="00E769AB">
      <w:pPr>
        <w:autoSpaceDE w:val="0"/>
        <w:autoSpaceDN w:val="0"/>
        <w:adjustRightInd w:val="0"/>
        <w:spacing w:after="0" w:line="240" w:lineRule="auto"/>
        <w:ind w:right="170"/>
        <w:jc w:val="both"/>
        <w:rPr>
          <w:rFonts w:cstheme="minorHAnsi"/>
        </w:rPr>
      </w:pPr>
    </w:p>
    <w:p w14:paraId="22D90D99" w14:textId="0296540F" w:rsidR="00E769AB" w:rsidRPr="00A75633" w:rsidRDefault="00E769AB" w:rsidP="00E769AB">
      <w:pPr>
        <w:autoSpaceDE w:val="0"/>
        <w:autoSpaceDN w:val="0"/>
        <w:adjustRightInd w:val="0"/>
        <w:spacing w:after="0" w:line="240" w:lineRule="auto"/>
        <w:ind w:right="170"/>
        <w:jc w:val="both"/>
        <w:rPr>
          <w:rFonts w:cstheme="minorHAnsi"/>
        </w:rPr>
      </w:pPr>
      <w:r w:rsidRPr="00A75633">
        <w:rPr>
          <w:rFonts w:cstheme="minorHAnsi"/>
        </w:rPr>
        <w:t>En cuanto al resultado financiero en 2022 se registraron valores positivos</w:t>
      </w:r>
      <w:r w:rsidR="008337E8">
        <w:rPr>
          <w:rFonts w:cstheme="minorHAnsi"/>
        </w:rPr>
        <w:t>. N</w:t>
      </w:r>
      <w:r w:rsidRPr="00A75633">
        <w:rPr>
          <w:rFonts w:cstheme="minorHAnsi"/>
        </w:rPr>
        <w:t>o obstante</w:t>
      </w:r>
      <w:r w:rsidR="008337E8">
        <w:rPr>
          <w:rFonts w:cstheme="minorHAnsi"/>
        </w:rPr>
        <w:t>,</w:t>
      </w:r>
      <w:r w:rsidRPr="00A75633">
        <w:rPr>
          <w:rFonts w:cstheme="minorHAnsi"/>
        </w:rPr>
        <w:t xml:space="preserve"> estos fueron inferiores a los obtenidos en 2021, tanto para voluntarios como para obligatorios, pero suficientes para que</w:t>
      </w:r>
      <w:r w:rsidR="008337E8">
        <w:rPr>
          <w:rFonts w:cstheme="minorHAnsi"/>
        </w:rPr>
        <w:t>,</w:t>
      </w:r>
      <w:r w:rsidRPr="00A75633">
        <w:rPr>
          <w:rFonts w:cstheme="minorHAnsi"/>
        </w:rPr>
        <w:t xml:space="preserve"> </w:t>
      </w:r>
      <w:r w:rsidR="00944ABF">
        <w:rPr>
          <w:rFonts w:cstheme="minorHAnsi"/>
        </w:rPr>
        <w:t xml:space="preserve">en </w:t>
      </w:r>
      <w:r w:rsidRPr="00A75633">
        <w:rPr>
          <w:rFonts w:cstheme="minorHAnsi"/>
        </w:rPr>
        <w:t>combinación con los resultados técnicos</w:t>
      </w:r>
      <w:r w:rsidR="008337E8">
        <w:rPr>
          <w:rFonts w:cstheme="minorHAnsi"/>
        </w:rPr>
        <w:t>,</w:t>
      </w:r>
      <w:r w:rsidRPr="00A75633">
        <w:rPr>
          <w:rFonts w:cstheme="minorHAnsi"/>
        </w:rPr>
        <w:t xml:space="preserve"> se tuvieran resultados positivos a nivel total</w:t>
      </w:r>
      <w:r w:rsidR="008337E8">
        <w:rPr>
          <w:rFonts w:cstheme="minorHAnsi"/>
        </w:rPr>
        <w:t xml:space="preserve"> en ambos segmentos</w:t>
      </w:r>
      <w:r w:rsidRPr="00A75633">
        <w:rPr>
          <w:rFonts w:cstheme="minorHAnsi"/>
        </w:rPr>
        <w:t xml:space="preserve">. </w:t>
      </w:r>
    </w:p>
    <w:p w14:paraId="7BEB73FB" w14:textId="77777777" w:rsidR="00E769AB" w:rsidRDefault="00E769AB" w:rsidP="00E769AB">
      <w:pPr>
        <w:autoSpaceDE w:val="0"/>
        <w:autoSpaceDN w:val="0"/>
        <w:adjustRightInd w:val="0"/>
        <w:spacing w:after="0" w:line="240" w:lineRule="auto"/>
        <w:jc w:val="both"/>
        <w:rPr>
          <w:rFonts w:cstheme="minorHAnsi"/>
        </w:rPr>
      </w:pPr>
    </w:p>
    <w:p w14:paraId="4AB60E57" w14:textId="0A40D325" w:rsidR="009F2ED9" w:rsidRDefault="009F2ED9">
      <w:pPr>
        <w:rPr>
          <w:rFonts w:cstheme="minorHAnsi"/>
        </w:rPr>
      </w:pPr>
      <w:r>
        <w:rPr>
          <w:rFonts w:cstheme="minorHAnsi"/>
        </w:rPr>
        <w:br w:type="page"/>
      </w:r>
    </w:p>
    <w:p w14:paraId="12CD5661" w14:textId="0A1DECC1" w:rsidR="00E769AB" w:rsidRPr="007B420A" w:rsidRDefault="00E769AB" w:rsidP="00E769AB">
      <w:pPr>
        <w:spacing w:after="0" w:line="240" w:lineRule="auto"/>
        <w:ind w:right="596"/>
        <w:rPr>
          <w:rFonts w:cstheme="minorHAnsi"/>
          <w:b/>
          <w:sz w:val="24"/>
          <w:szCs w:val="24"/>
        </w:rPr>
      </w:pPr>
      <w:r w:rsidRPr="007B420A">
        <w:rPr>
          <w:rFonts w:cstheme="minorHAnsi"/>
          <w:b/>
          <w:sz w:val="24"/>
          <w:szCs w:val="24"/>
        </w:rPr>
        <w:lastRenderedPageBreak/>
        <w:t xml:space="preserve">Cuadro </w:t>
      </w:r>
      <w:r w:rsidR="00982550" w:rsidRPr="007B420A">
        <w:rPr>
          <w:rFonts w:cstheme="minorHAnsi"/>
          <w:b/>
          <w:sz w:val="24"/>
          <w:szCs w:val="24"/>
        </w:rPr>
        <w:t>6</w:t>
      </w:r>
    </w:p>
    <w:p w14:paraId="6A7773D1" w14:textId="77777777" w:rsidR="00E769AB" w:rsidRPr="007B420A" w:rsidRDefault="00E769AB" w:rsidP="00E769AB">
      <w:pPr>
        <w:spacing w:after="0" w:line="240" w:lineRule="auto"/>
        <w:ind w:right="596"/>
        <w:rPr>
          <w:rFonts w:cstheme="minorHAnsi"/>
          <w:b/>
          <w:sz w:val="24"/>
          <w:szCs w:val="24"/>
        </w:rPr>
      </w:pPr>
      <w:r w:rsidRPr="007B420A">
        <w:rPr>
          <w:rFonts w:cstheme="minorHAnsi"/>
          <w:b/>
          <w:sz w:val="24"/>
          <w:szCs w:val="24"/>
        </w:rPr>
        <w:t>Costa Rica: Resultado técnico y financiero del mercado de seguros según ramo, 2022</w:t>
      </w:r>
    </w:p>
    <w:p w14:paraId="03A31C0E" w14:textId="77777777" w:rsidR="00E769AB" w:rsidRPr="00B04F96" w:rsidRDefault="00E769AB" w:rsidP="00E769AB">
      <w:pPr>
        <w:spacing w:after="0" w:line="240" w:lineRule="auto"/>
        <w:ind w:right="596"/>
        <w:rPr>
          <w:rFonts w:cstheme="minorHAnsi"/>
          <w:bCs/>
          <w:sz w:val="20"/>
          <w:szCs w:val="20"/>
        </w:rPr>
      </w:pPr>
      <w:r w:rsidRPr="00B04F96">
        <w:rPr>
          <w:rFonts w:cstheme="minorHAnsi"/>
          <w:bCs/>
          <w:sz w:val="20"/>
          <w:szCs w:val="20"/>
        </w:rPr>
        <w:t>(millones de colones)</w:t>
      </w:r>
    </w:p>
    <w:p w14:paraId="2377F39E" w14:textId="77777777" w:rsidR="00E769AB" w:rsidRPr="00FB7E5E" w:rsidRDefault="00E769AB" w:rsidP="00E769AB">
      <w:pPr>
        <w:autoSpaceDE w:val="0"/>
        <w:autoSpaceDN w:val="0"/>
        <w:adjustRightInd w:val="0"/>
        <w:spacing w:after="0" w:line="240" w:lineRule="auto"/>
        <w:jc w:val="both"/>
        <w:rPr>
          <w:rFonts w:cstheme="minorHAnsi"/>
          <w:sz w:val="20"/>
          <w:szCs w:val="20"/>
        </w:rPr>
      </w:pPr>
      <w:r w:rsidRPr="00FB7E5E">
        <w:rPr>
          <w:rFonts w:cstheme="minorHAnsi"/>
          <w:noProof/>
        </w:rPr>
        <w:drawing>
          <wp:inline distT="0" distB="0" distL="0" distR="0" wp14:anchorId="5B5B53D2" wp14:editId="59AB9034">
            <wp:extent cx="3589203" cy="2822713"/>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8668" cy="2830157"/>
                    </a:xfrm>
                    <a:prstGeom prst="rect">
                      <a:avLst/>
                    </a:prstGeom>
                    <a:noFill/>
                    <a:ln>
                      <a:noFill/>
                    </a:ln>
                  </pic:spPr>
                </pic:pic>
              </a:graphicData>
            </a:graphic>
          </wp:inline>
        </w:drawing>
      </w:r>
    </w:p>
    <w:p w14:paraId="4BC9C685" w14:textId="77777777" w:rsidR="00E769AB" w:rsidRDefault="00E769AB" w:rsidP="00E769AB">
      <w:pPr>
        <w:autoSpaceDE w:val="0"/>
        <w:autoSpaceDN w:val="0"/>
        <w:adjustRightInd w:val="0"/>
        <w:spacing w:after="0" w:line="240" w:lineRule="auto"/>
        <w:jc w:val="both"/>
        <w:rPr>
          <w:rFonts w:cstheme="minorHAnsi"/>
        </w:rPr>
      </w:pPr>
    </w:p>
    <w:p w14:paraId="3774681B" w14:textId="77777777" w:rsidR="0076167D" w:rsidRPr="005A6629" w:rsidRDefault="0076167D" w:rsidP="00E769AB">
      <w:pPr>
        <w:autoSpaceDE w:val="0"/>
        <w:autoSpaceDN w:val="0"/>
        <w:adjustRightInd w:val="0"/>
        <w:spacing w:after="0" w:line="240" w:lineRule="auto"/>
        <w:jc w:val="both"/>
        <w:rPr>
          <w:rFonts w:cstheme="minorHAnsi"/>
        </w:rPr>
      </w:pPr>
    </w:p>
    <w:p w14:paraId="16D1B928" w14:textId="3BA61D83" w:rsidR="00E769AB" w:rsidRPr="005A6629" w:rsidRDefault="00E769AB" w:rsidP="00E769AB">
      <w:pPr>
        <w:autoSpaceDE w:val="0"/>
        <w:autoSpaceDN w:val="0"/>
        <w:adjustRightInd w:val="0"/>
        <w:spacing w:after="0" w:line="240" w:lineRule="auto"/>
        <w:ind w:right="170"/>
        <w:jc w:val="both"/>
        <w:rPr>
          <w:rFonts w:cstheme="minorHAnsi"/>
        </w:rPr>
      </w:pPr>
      <w:r w:rsidRPr="005A6629">
        <w:rPr>
          <w:rFonts w:cstheme="minorHAnsi"/>
        </w:rPr>
        <w:t>Observando los resultados por ramos para este 2022, se aprecia que el ramo con el mejor resultado técnico fue el de Vida, el cual ha mostrado un crecimiento destacable en este año</w:t>
      </w:r>
      <w:r w:rsidR="009F2ED9">
        <w:rPr>
          <w:rFonts w:cstheme="minorHAnsi"/>
        </w:rPr>
        <w:t>; m</w:t>
      </w:r>
      <w:r w:rsidRPr="005A6629">
        <w:rPr>
          <w:rFonts w:cstheme="minorHAnsi"/>
        </w:rPr>
        <w:t>ientras que el ramo con el peor resultado técnico fue el de Riesgos del Trabajo</w:t>
      </w:r>
      <w:r w:rsidR="009F2ED9">
        <w:rPr>
          <w:rFonts w:cstheme="minorHAnsi"/>
        </w:rPr>
        <w:t>,</w:t>
      </w:r>
      <w:r w:rsidRPr="005A6629">
        <w:rPr>
          <w:rFonts w:cstheme="minorHAnsi"/>
        </w:rPr>
        <w:t xml:space="preserve"> explicado en parte por el paulatino regreso a la presencialidad</w:t>
      </w:r>
      <w:r w:rsidR="009F2ED9">
        <w:rPr>
          <w:rFonts w:cstheme="minorHAnsi"/>
        </w:rPr>
        <w:t>,</w:t>
      </w:r>
      <w:r w:rsidRPr="005A6629">
        <w:rPr>
          <w:rFonts w:cstheme="minorHAnsi"/>
        </w:rPr>
        <w:t xml:space="preserve"> que incrementa el riesgo</w:t>
      </w:r>
      <w:r w:rsidR="00944ABF">
        <w:rPr>
          <w:rFonts w:cstheme="minorHAnsi"/>
        </w:rPr>
        <w:t xml:space="preserve"> de</w:t>
      </w:r>
      <w:r w:rsidRPr="005A6629">
        <w:rPr>
          <w:rFonts w:cstheme="minorHAnsi"/>
        </w:rPr>
        <w:t xml:space="preserve"> sufrir siniestros asociados a las actividades laborales.</w:t>
      </w:r>
    </w:p>
    <w:p w14:paraId="06B8E909" w14:textId="77777777" w:rsidR="00E769AB" w:rsidRPr="005A6629" w:rsidRDefault="00E769AB" w:rsidP="00E769AB">
      <w:pPr>
        <w:autoSpaceDE w:val="0"/>
        <w:autoSpaceDN w:val="0"/>
        <w:adjustRightInd w:val="0"/>
        <w:spacing w:after="0" w:line="240" w:lineRule="auto"/>
        <w:ind w:right="170"/>
        <w:jc w:val="both"/>
        <w:rPr>
          <w:rFonts w:cstheme="minorHAnsi"/>
        </w:rPr>
      </w:pPr>
    </w:p>
    <w:p w14:paraId="7ED0A5E7" w14:textId="6EC6FC8F" w:rsidR="00E769AB" w:rsidRPr="005A6629" w:rsidRDefault="00E769AB" w:rsidP="00E769AB">
      <w:pPr>
        <w:autoSpaceDE w:val="0"/>
        <w:autoSpaceDN w:val="0"/>
        <w:adjustRightInd w:val="0"/>
        <w:spacing w:after="0" w:line="240" w:lineRule="auto"/>
        <w:ind w:right="170"/>
        <w:jc w:val="both"/>
        <w:rPr>
          <w:rFonts w:cstheme="minorHAnsi"/>
        </w:rPr>
      </w:pPr>
      <w:r w:rsidRPr="005A6629">
        <w:rPr>
          <w:rFonts w:cstheme="minorHAnsi"/>
        </w:rPr>
        <w:t>Para el resultado financiero</w:t>
      </w:r>
      <w:r w:rsidR="009F2ED9">
        <w:rPr>
          <w:rFonts w:cstheme="minorHAnsi"/>
        </w:rPr>
        <w:t>,</w:t>
      </w:r>
      <w:r w:rsidRPr="005A6629">
        <w:rPr>
          <w:rFonts w:cstheme="minorHAnsi"/>
        </w:rPr>
        <w:t xml:space="preserve"> el mejor resultado lo obtuvo el ramo de Riesgos del Trabajo, lo cual es esperable para mantener sostenible este seguro, mientras que el ramo de Salud fue el que obtuvo el peor resultado financiero.</w:t>
      </w:r>
    </w:p>
    <w:p w14:paraId="2579927E" w14:textId="77777777" w:rsidR="00E769AB" w:rsidRPr="005A6629" w:rsidRDefault="00E769AB" w:rsidP="00E769AB">
      <w:pPr>
        <w:autoSpaceDE w:val="0"/>
        <w:autoSpaceDN w:val="0"/>
        <w:adjustRightInd w:val="0"/>
        <w:spacing w:after="0" w:line="240" w:lineRule="auto"/>
        <w:ind w:right="170"/>
        <w:jc w:val="both"/>
        <w:rPr>
          <w:rFonts w:cstheme="minorHAnsi"/>
        </w:rPr>
      </w:pPr>
    </w:p>
    <w:p w14:paraId="43F5C41D" w14:textId="059FE4A4" w:rsidR="00E769AB" w:rsidRPr="005A6629" w:rsidRDefault="00E769AB" w:rsidP="00E769AB">
      <w:pPr>
        <w:autoSpaceDE w:val="0"/>
        <w:autoSpaceDN w:val="0"/>
        <w:adjustRightInd w:val="0"/>
        <w:spacing w:after="0" w:line="240" w:lineRule="auto"/>
        <w:ind w:right="170"/>
        <w:jc w:val="both"/>
        <w:rPr>
          <w:rFonts w:cstheme="minorHAnsi"/>
        </w:rPr>
      </w:pPr>
      <w:r w:rsidRPr="005A6629">
        <w:rPr>
          <w:rFonts w:cstheme="minorHAnsi"/>
        </w:rPr>
        <w:t xml:space="preserve">Combinando ambos resultados, los ramos de Vida y Automóviles </w:t>
      </w:r>
      <w:r w:rsidR="009F2ED9">
        <w:rPr>
          <w:rFonts w:cstheme="minorHAnsi"/>
        </w:rPr>
        <w:t>fueron</w:t>
      </w:r>
      <w:r w:rsidRPr="005A6629">
        <w:rPr>
          <w:rFonts w:cstheme="minorHAnsi"/>
        </w:rPr>
        <w:t xml:space="preserve"> los mejor posicionados para el 2022, mientras que los de Accidentes e Incendios y líneas aliadas </w:t>
      </w:r>
      <w:r w:rsidR="009F2ED9">
        <w:rPr>
          <w:rFonts w:cstheme="minorHAnsi"/>
        </w:rPr>
        <w:t>fueron</w:t>
      </w:r>
      <w:r w:rsidRPr="005A6629">
        <w:rPr>
          <w:rFonts w:cstheme="minorHAnsi"/>
        </w:rPr>
        <w:t xml:space="preserve"> los que presentan los peores resultados</w:t>
      </w:r>
      <w:r w:rsidR="009F2ED9">
        <w:rPr>
          <w:rFonts w:cstheme="minorHAnsi"/>
        </w:rPr>
        <w:t>. L</w:t>
      </w:r>
      <w:r w:rsidRPr="005A6629">
        <w:rPr>
          <w:rFonts w:cstheme="minorHAnsi"/>
        </w:rPr>
        <w:t>lama la atención el ramo de Accidentes que obtuvo resultados negativos tanto en lo técnico como en lo financiero.</w:t>
      </w:r>
    </w:p>
    <w:p w14:paraId="1DEA0F93" w14:textId="77777777" w:rsidR="0099407F" w:rsidRPr="00FB7E5E" w:rsidRDefault="0099407F" w:rsidP="00A703E2">
      <w:pPr>
        <w:jc w:val="center"/>
        <w:rPr>
          <w:rFonts w:cstheme="minorHAnsi"/>
        </w:rPr>
      </w:pPr>
    </w:p>
    <w:p w14:paraId="410D9553" w14:textId="05484DB7" w:rsidR="00FB7E5E" w:rsidRPr="0010556A" w:rsidRDefault="00FB7E5E" w:rsidP="0010556A">
      <w:pPr>
        <w:pStyle w:val="Prrafodelista"/>
        <w:numPr>
          <w:ilvl w:val="0"/>
          <w:numId w:val="48"/>
        </w:numPr>
        <w:spacing w:line="240" w:lineRule="auto"/>
        <w:rPr>
          <w:rFonts w:cstheme="minorHAnsi"/>
          <w:sz w:val="24"/>
          <w:szCs w:val="24"/>
        </w:rPr>
      </w:pPr>
      <w:r w:rsidRPr="0010556A">
        <w:rPr>
          <w:rFonts w:cstheme="minorHAnsi"/>
          <w:b/>
          <w:bCs/>
          <w:sz w:val="24"/>
          <w:szCs w:val="24"/>
        </w:rPr>
        <w:t xml:space="preserve">Registro y Autorizaciones </w:t>
      </w:r>
    </w:p>
    <w:p w14:paraId="41267961" w14:textId="013DCD47" w:rsidR="00FB7E5E" w:rsidRPr="005A6629" w:rsidRDefault="00FB7E5E" w:rsidP="00FB7E5E">
      <w:pPr>
        <w:spacing w:after="0" w:line="240" w:lineRule="auto"/>
        <w:jc w:val="both"/>
        <w:rPr>
          <w:rFonts w:cstheme="minorHAnsi"/>
        </w:rPr>
      </w:pPr>
      <w:r w:rsidRPr="005A6629">
        <w:rPr>
          <w:rFonts w:cstheme="minorHAnsi"/>
        </w:rPr>
        <w:t xml:space="preserve">En relación el número de participantes y productos ofrecidos en el mercado de seguros, la evolución fue similar a la de años previos. Durante el periodo no varió el número de aseguradoras, la cantidad de aseguradoras en operación se ha mantenido igual durante los últimos ocho años; no obstante, se presentó la solicitud de cese de operaciones de la sucursal en Costa Rica de </w:t>
      </w:r>
      <w:r w:rsidRPr="005A6629">
        <w:rPr>
          <w:rFonts w:eastAsia="Calibri" w:cstheme="minorHAnsi"/>
        </w:rPr>
        <w:t>Triple-S Blue, INC. I.I.</w:t>
      </w:r>
      <w:r w:rsidRPr="005A6629">
        <w:rPr>
          <w:rFonts w:cstheme="minorHAnsi"/>
        </w:rPr>
        <w:t>, la cual, al cierre de 2022, se encontraba en su etapa final de inscripción de la disolución en el Registro Nacional, aunque sus operaciones finalizaron en abril</w:t>
      </w:r>
      <w:r w:rsidR="00FC2011">
        <w:rPr>
          <w:rFonts w:cstheme="minorHAnsi"/>
        </w:rPr>
        <w:t xml:space="preserve">. </w:t>
      </w:r>
    </w:p>
    <w:p w14:paraId="7C0B4B1D" w14:textId="77777777" w:rsidR="00FB7E5E" w:rsidRPr="005A6629" w:rsidRDefault="00FB7E5E" w:rsidP="00FB7E5E">
      <w:pPr>
        <w:spacing w:after="0" w:line="240" w:lineRule="auto"/>
        <w:jc w:val="both"/>
        <w:rPr>
          <w:rFonts w:cstheme="minorHAnsi"/>
          <w:highlight w:val="yellow"/>
        </w:rPr>
      </w:pPr>
    </w:p>
    <w:p w14:paraId="584D7F4F" w14:textId="3AF8BEA9" w:rsidR="00FB7E5E" w:rsidRPr="005A6629" w:rsidRDefault="00FB7E5E" w:rsidP="00FB7E5E">
      <w:pPr>
        <w:spacing w:after="0" w:line="240" w:lineRule="auto"/>
        <w:jc w:val="both"/>
        <w:rPr>
          <w:rFonts w:cstheme="minorHAnsi"/>
        </w:rPr>
      </w:pPr>
      <w:r w:rsidRPr="005A6629">
        <w:rPr>
          <w:rFonts w:cstheme="minorHAnsi"/>
        </w:rPr>
        <w:lastRenderedPageBreak/>
        <w:t xml:space="preserve">Por su parte, la cantidad de intermediarios ha mantenido el dinamismo, en especial las sociedades corredoras y los operadores autoexpedibles. El número de sociedades agencia activas, como ha sido usual desde la apertura del mercado, han decrecido, en particular por las transformaciones desde esta figura a sociedades corredoras y algunas por inactivación o disolución de la entidad. En agentes y corredores de seguros se mantuvo el incremento en el número de participantes. </w:t>
      </w:r>
    </w:p>
    <w:p w14:paraId="3019E992" w14:textId="77777777" w:rsidR="00FB7E5E" w:rsidRPr="005A6629" w:rsidRDefault="00FB7E5E" w:rsidP="00FB7E5E">
      <w:pPr>
        <w:spacing w:after="0" w:line="240" w:lineRule="auto"/>
        <w:jc w:val="both"/>
        <w:rPr>
          <w:rFonts w:cstheme="minorHAnsi"/>
          <w:highlight w:val="yellow"/>
        </w:rPr>
      </w:pPr>
    </w:p>
    <w:p w14:paraId="6D2240C8" w14:textId="77777777" w:rsidR="00FB7E5E" w:rsidRPr="005A6629" w:rsidRDefault="00FB7E5E" w:rsidP="00FB7E5E">
      <w:pPr>
        <w:spacing w:after="0" w:line="240" w:lineRule="auto"/>
        <w:jc w:val="both"/>
        <w:rPr>
          <w:rFonts w:cstheme="minorHAnsi"/>
        </w:rPr>
      </w:pPr>
      <w:r w:rsidRPr="005A6629">
        <w:rPr>
          <w:rFonts w:cstheme="minorHAnsi"/>
        </w:rPr>
        <w:t>El balance final de participantes en el mercado de seguros al término de 2022 se presenta en el siguiente cuadro:</w:t>
      </w:r>
    </w:p>
    <w:p w14:paraId="561C2214" w14:textId="77777777" w:rsidR="00FB7E5E" w:rsidRPr="00FB7E5E" w:rsidRDefault="00FB7E5E" w:rsidP="00FB7E5E">
      <w:pPr>
        <w:spacing w:after="0" w:line="240" w:lineRule="auto"/>
        <w:jc w:val="both"/>
        <w:rPr>
          <w:rFonts w:cstheme="minorHAnsi"/>
          <w:sz w:val="24"/>
          <w:szCs w:val="24"/>
        </w:rPr>
      </w:pPr>
    </w:p>
    <w:p w14:paraId="105448FD" w14:textId="418B5911" w:rsidR="00FB7E5E" w:rsidRPr="00FB7E5E" w:rsidRDefault="00FB7E5E" w:rsidP="00FB7E5E">
      <w:pPr>
        <w:spacing w:after="0" w:line="240" w:lineRule="auto"/>
        <w:ind w:left="142"/>
        <w:rPr>
          <w:rFonts w:cstheme="minorHAnsi"/>
          <w:b/>
          <w:bCs/>
          <w:sz w:val="24"/>
          <w:szCs w:val="24"/>
        </w:rPr>
      </w:pPr>
      <w:r w:rsidRPr="00FB7E5E">
        <w:rPr>
          <w:rFonts w:cstheme="minorHAnsi"/>
          <w:b/>
          <w:bCs/>
          <w:sz w:val="24"/>
          <w:szCs w:val="24"/>
        </w:rPr>
        <w:t xml:space="preserve">Cuadro </w:t>
      </w:r>
      <w:r w:rsidR="00982550">
        <w:rPr>
          <w:rFonts w:cstheme="minorHAnsi"/>
          <w:b/>
          <w:bCs/>
          <w:sz w:val="24"/>
          <w:szCs w:val="24"/>
        </w:rPr>
        <w:t>7</w:t>
      </w:r>
    </w:p>
    <w:p w14:paraId="0C80BEB9" w14:textId="77777777" w:rsidR="00FB7E5E" w:rsidRPr="00FB7E5E" w:rsidRDefault="00FB7E5E" w:rsidP="00FB7E5E">
      <w:pPr>
        <w:spacing w:after="0" w:line="240" w:lineRule="auto"/>
        <w:ind w:left="142"/>
        <w:rPr>
          <w:rFonts w:cstheme="minorHAnsi"/>
          <w:b/>
          <w:bCs/>
          <w:sz w:val="24"/>
          <w:szCs w:val="24"/>
        </w:rPr>
      </w:pPr>
      <w:r w:rsidRPr="00FB7E5E">
        <w:rPr>
          <w:rFonts w:cstheme="minorHAnsi"/>
          <w:b/>
          <w:bCs/>
          <w:sz w:val="24"/>
          <w:szCs w:val="24"/>
        </w:rPr>
        <w:t>Participantes del mercado de seguros, 2021-2022</w:t>
      </w:r>
    </w:p>
    <w:p w14:paraId="42216426" w14:textId="77777777" w:rsidR="00FB7E5E" w:rsidRPr="00FB09F4" w:rsidRDefault="00FB7E5E" w:rsidP="00FB7E5E">
      <w:pPr>
        <w:spacing w:after="0" w:line="240" w:lineRule="auto"/>
        <w:ind w:left="142"/>
        <w:rPr>
          <w:rFonts w:cstheme="minorHAnsi"/>
          <w:bCs/>
          <w:sz w:val="20"/>
          <w:szCs w:val="20"/>
        </w:rPr>
      </w:pPr>
    </w:p>
    <w:tbl>
      <w:tblPr>
        <w:tblStyle w:val="Tablaconcuadrcula1clara"/>
        <w:tblW w:w="9134" w:type="dxa"/>
        <w:jc w:val="center"/>
        <w:tblLook w:val="0420" w:firstRow="1" w:lastRow="0" w:firstColumn="0" w:lastColumn="0" w:noHBand="0" w:noVBand="1"/>
      </w:tblPr>
      <w:tblGrid>
        <w:gridCol w:w="3402"/>
        <w:gridCol w:w="722"/>
        <w:gridCol w:w="1097"/>
        <w:gridCol w:w="938"/>
        <w:gridCol w:w="1143"/>
        <w:gridCol w:w="1832"/>
      </w:tblGrid>
      <w:tr w:rsidR="00B04F96" w:rsidRPr="00FB7E5E" w14:paraId="03F7F593" w14:textId="77777777" w:rsidTr="00B04F96">
        <w:trPr>
          <w:cnfStyle w:val="100000000000" w:firstRow="1" w:lastRow="0" w:firstColumn="0" w:lastColumn="0" w:oddVBand="0" w:evenVBand="0" w:oddHBand="0" w:evenHBand="0" w:firstRowFirstColumn="0" w:firstRowLastColumn="0" w:lastRowFirstColumn="0" w:lastRowLastColumn="0"/>
          <w:trHeight w:val="508"/>
          <w:tblHeader/>
          <w:jc w:val="center"/>
        </w:trPr>
        <w:tc>
          <w:tcPr>
            <w:tcW w:w="3402" w:type="dxa"/>
            <w:tcBorders>
              <w:top w:val="nil"/>
              <w:left w:val="nil"/>
              <w:bottom w:val="nil"/>
              <w:right w:val="nil"/>
            </w:tcBorders>
            <w:shd w:val="clear" w:color="auto" w:fill="1F3864" w:themeFill="accent1" w:themeFillShade="80"/>
            <w:vAlign w:val="center"/>
            <w:hideMark/>
          </w:tcPr>
          <w:p w14:paraId="160BCE57"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Tipo de participante</w:t>
            </w:r>
          </w:p>
        </w:tc>
        <w:tc>
          <w:tcPr>
            <w:tcW w:w="722" w:type="dxa"/>
            <w:tcBorders>
              <w:top w:val="nil"/>
              <w:left w:val="nil"/>
              <w:bottom w:val="nil"/>
              <w:right w:val="nil"/>
            </w:tcBorders>
            <w:shd w:val="clear" w:color="auto" w:fill="1F3864" w:themeFill="accent1" w:themeFillShade="80"/>
            <w:vAlign w:val="center"/>
            <w:hideMark/>
          </w:tcPr>
          <w:p w14:paraId="5DF78C7C"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Total</w:t>
            </w:r>
          </w:p>
        </w:tc>
        <w:tc>
          <w:tcPr>
            <w:tcW w:w="1097" w:type="dxa"/>
            <w:tcBorders>
              <w:top w:val="nil"/>
              <w:left w:val="nil"/>
              <w:bottom w:val="nil"/>
              <w:right w:val="nil"/>
            </w:tcBorders>
            <w:shd w:val="clear" w:color="auto" w:fill="1F3864" w:themeFill="accent1" w:themeFillShade="80"/>
            <w:vAlign w:val="center"/>
            <w:hideMark/>
          </w:tcPr>
          <w:p w14:paraId="7CD569AE"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Inscritos</w:t>
            </w:r>
          </w:p>
        </w:tc>
        <w:tc>
          <w:tcPr>
            <w:tcW w:w="938" w:type="dxa"/>
            <w:tcBorders>
              <w:top w:val="nil"/>
              <w:left w:val="nil"/>
              <w:bottom w:val="nil"/>
              <w:right w:val="nil"/>
            </w:tcBorders>
            <w:shd w:val="clear" w:color="auto" w:fill="1F3864" w:themeFill="accent1" w:themeFillShade="80"/>
            <w:vAlign w:val="center"/>
            <w:hideMark/>
          </w:tcPr>
          <w:p w14:paraId="224422FC"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Activos</w:t>
            </w:r>
          </w:p>
        </w:tc>
        <w:tc>
          <w:tcPr>
            <w:tcW w:w="1143" w:type="dxa"/>
            <w:tcBorders>
              <w:top w:val="nil"/>
              <w:left w:val="nil"/>
              <w:bottom w:val="nil"/>
              <w:right w:val="nil"/>
            </w:tcBorders>
            <w:shd w:val="clear" w:color="auto" w:fill="1F3864" w:themeFill="accent1" w:themeFillShade="80"/>
            <w:vAlign w:val="center"/>
            <w:hideMark/>
          </w:tcPr>
          <w:p w14:paraId="2AFEF13E"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Inactivos</w:t>
            </w:r>
          </w:p>
        </w:tc>
        <w:tc>
          <w:tcPr>
            <w:tcW w:w="1832" w:type="dxa"/>
            <w:tcBorders>
              <w:top w:val="nil"/>
              <w:left w:val="nil"/>
              <w:bottom w:val="nil"/>
              <w:right w:val="nil"/>
            </w:tcBorders>
            <w:shd w:val="clear" w:color="auto" w:fill="1F3864" w:themeFill="accent1" w:themeFillShade="80"/>
            <w:vAlign w:val="center"/>
            <w:hideMark/>
          </w:tcPr>
          <w:p w14:paraId="1179AD3F" w14:textId="77777777" w:rsidR="00FB7E5E" w:rsidRPr="00FB7E5E" w:rsidRDefault="00FB7E5E" w:rsidP="00D07F28">
            <w:pPr>
              <w:jc w:val="center"/>
              <w:rPr>
                <w:rFonts w:cstheme="minorHAnsi"/>
                <w:color w:val="FFFFFF" w:themeColor="background1"/>
                <w:sz w:val="20"/>
                <w:szCs w:val="20"/>
              </w:rPr>
            </w:pPr>
            <w:r w:rsidRPr="00FB7E5E">
              <w:rPr>
                <w:rFonts w:cstheme="minorHAnsi"/>
                <w:color w:val="FFFFFF" w:themeColor="background1"/>
                <w:sz w:val="20"/>
                <w:szCs w:val="20"/>
              </w:rPr>
              <w:t>Autorizados condicionalmente</w:t>
            </w:r>
            <w:r w:rsidRPr="00FB7E5E">
              <w:rPr>
                <w:rFonts w:cstheme="minorHAnsi"/>
                <w:color w:val="FFFFFF" w:themeColor="background1"/>
                <w:sz w:val="20"/>
                <w:szCs w:val="20"/>
                <w:vertAlign w:val="superscript"/>
              </w:rPr>
              <w:t>1/</w:t>
            </w:r>
          </w:p>
        </w:tc>
      </w:tr>
      <w:tr w:rsidR="00FB7E5E" w:rsidRPr="00FB7E5E" w14:paraId="16601F44" w14:textId="77777777" w:rsidTr="00B04F96">
        <w:trPr>
          <w:trHeight w:val="341"/>
          <w:jc w:val="center"/>
        </w:trPr>
        <w:tc>
          <w:tcPr>
            <w:tcW w:w="9134" w:type="dxa"/>
            <w:gridSpan w:val="6"/>
            <w:tcBorders>
              <w:top w:val="nil"/>
              <w:left w:val="nil"/>
              <w:bottom w:val="nil"/>
              <w:right w:val="nil"/>
            </w:tcBorders>
            <w:shd w:val="clear" w:color="auto" w:fill="1F3864" w:themeFill="accent1" w:themeFillShade="80"/>
            <w:hideMark/>
          </w:tcPr>
          <w:p w14:paraId="5A94B7E8" w14:textId="77777777" w:rsidR="00FB7E5E" w:rsidRPr="00FB7E5E" w:rsidRDefault="00FB7E5E" w:rsidP="00D07F28">
            <w:pPr>
              <w:jc w:val="center"/>
              <w:rPr>
                <w:rFonts w:cstheme="minorHAnsi"/>
                <w:b/>
                <w:bCs/>
                <w:sz w:val="20"/>
                <w:szCs w:val="20"/>
              </w:rPr>
            </w:pPr>
            <w:r w:rsidRPr="00FB7E5E">
              <w:rPr>
                <w:rFonts w:cstheme="minorHAnsi"/>
                <w:b/>
                <w:bCs/>
                <w:color w:val="FFFFFF" w:themeColor="background1"/>
                <w:sz w:val="20"/>
                <w:szCs w:val="20"/>
              </w:rPr>
              <w:t>Dic-2022</w:t>
            </w:r>
          </w:p>
        </w:tc>
      </w:tr>
      <w:tr w:rsidR="00FB7E5E" w:rsidRPr="00FB7E5E" w14:paraId="420AA257" w14:textId="77777777" w:rsidTr="00D07F28">
        <w:trPr>
          <w:trHeight w:val="20"/>
          <w:jc w:val="center"/>
        </w:trPr>
        <w:tc>
          <w:tcPr>
            <w:tcW w:w="3402" w:type="dxa"/>
            <w:tcBorders>
              <w:top w:val="nil"/>
              <w:left w:val="nil"/>
              <w:bottom w:val="nil"/>
              <w:right w:val="nil"/>
            </w:tcBorders>
            <w:hideMark/>
          </w:tcPr>
          <w:p w14:paraId="009C4155" w14:textId="77777777" w:rsidR="00FB7E5E" w:rsidRPr="00FB7E5E" w:rsidRDefault="00FB7E5E" w:rsidP="00D07F28">
            <w:pPr>
              <w:jc w:val="both"/>
              <w:rPr>
                <w:rFonts w:cstheme="minorHAnsi"/>
                <w:sz w:val="20"/>
                <w:szCs w:val="20"/>
              </w:rPr>
            </w:pPr>
            <w:r w:rsidRPr="00FB7E5E">
              <w:rPr>
                <w:rFonts w:cstheme="minorHAnsi"/>
                <w:sz w:val="20"/>
                <w:szCs w:val="20"/>
              </w:rPr>
              <w:t>Aseguradoras</w:t>
            </w:r>
          </w:p>
        </w:tc>
        <w:tc>
          <w:tcPr>
            <w:tcW w:w="722" w:type="dxa"/>
            <w:tcBorders>
              <w:top w:val="nil"/>
              <w:left w:val="nil"/>
              <w:bottom w:val="nil"/>
              <w:right w:val="nil"/>
            </w:tcBorders>
            <w:vAlign w:val="center"/>
            <w:hideMark/>
          </w:tcPr>
          <w:p w14:paraId="05831440"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1097" w:type="dxa"/>
            <w:tcBorders>
              <w:top w:val="nil"/>
              <w:left w:val="nil"/>
              <w:bottom w:val="nil"/>
              <w:right w:val="nil"/>
            </w:tcBorders>
            <w:vAlign w:val="center"/>
            <w:hideMark/>
          </w:tcPr>
          <w:p w14:paraId="10ACA1D6"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938" w:type="dxa"/>
            <w:tcBorders>
              <w:top w:val="nil"/>
              <w:left w:val="nil"/>
              <w:bottom w:val="nil"/>
              <w:right w:val="nil"/>
            </w:tcBorders>
            <w:vAlign w:val="center"/>
            <w:hideMark/>
          </w:tcPr>
          <w:p w14:paraId="49C951C3"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1143" w:type="dxa"/>
            <w:tcBorders>
              <w:top w:val="nil"/>
              <w:left w:val="nil"/>
              <w:bottom w:val="nil"/>
              <w:right w:val="nil"/>
            </w:tcBorders>
            <w:vAlign w:val="center"/>
            <w:hideMark/>
          </w:tcPr>
          <w:p w14:paraId="4B527731" w14:textId="2FBFD502" w:rsidR="00FB7E5E" w:rsidRPr="00FB7E5E" w:rsidRDefault="00B97836" w:rsidP="00D07F28">
            <w:pPr>
              <w:jc w:val="right"/>
              <w:rPr>
                <w:rFonts w:cstheme="minorHAnsi"/>
                <w:sz w:val="20"/>
                <w:szCs w:val="20"/>
              </w:rPr>
            </w:pPr>
            <w:r>
              <w:rPr>
                <w:rFonts w:cstheme="minorHAnsi"/>
                <w:sz w:val="20"/>
                <w:szCs w:val="20"/>
              </w:rPr>
              <w:t>0</w:t>
            </w:r>
          </w:p>
        </w:tc>
        <w:tc>
          <w:tcPr>
            <w:tcW w:w="1832" w:type="dxa"/>
            <w:tcBorders>
              <w:top w:val="nil"/>
              <w:left w:val="nil"/>
              <w:bottom w:val="nil"/>
              <w:right w:val="nil"/>
            </w:tcBorders>
            <w:vAlign w:val="center"/>
            <w:hideMark/>
          </w:tcPr>
          <w:p w14:paraId="35B37E8C" w14:textId="77777777" w:rsidR="00FB7E5E" w:rsidRPr="00FB7E5E" w:rsidRDefault="00FB7E5E" w:rsidP="00D07F28">
            <w:pPr>
              <w:jc w:val="center"/>
              <w:rPr>
                <w:rFonts w:cstheme="minorHAnsi"/>
                <w:sz w:val="20"/>
                <w:szCs w:val="20"/>
              </w:rPr>
            </w:pPr>
            <w:r w:rsidRPr="00FB7E5E">
              <w:rPr>
                <w:rFonts w:cstheme="minorHAnsi"/>
                <w:sz w:val="20"/>
                <w:szCs w:val="20"/>
              </w:rPr>
              <w:t xml:space="preserve">1 </w:t>
            </w:r>
            <w:r w:rsidRPr="00FB7E5E">
              <w:rPr>
                <w:rFonts w:cstheme="minorHAnsi"/>
                <w:sz w:val="20"/>
                <w:szCs w:val="20"/>
                <w:vertAlign w:val="superscript"/>
              </w:rPr>
              <w:t>2/</w:t>
            </w:r>
          </w:p>
        </w:tc>
      </w:tr>
      <w:tr w:rsidR="00FB7E5E" w:rsidRPr="00FB7E5E" w14:paraId="774B013E" w14:textId="77777777" w:rsidTr="00D07F28">
        <w:trPr>
          <w:trHeight w:val="20"/>
          <w:jc w:val="center"/>
        </w:trPr>
        <w:tc>
          <w:tcPr>
            <w:tcW w:w="3402" w:type="dxa"/>
            <w:tcBorders>
              <w:top w:val="nil"/>
              <w:left w:val="nil"/>
              <w:bottom w:val="nil"/>
              <w:right w:val="nil"/>
            </w:tcBorders>
            <w:hideMark/>
          </w:tcPr>
          <w:p w14:paraId="2D02C982" w14:textId="77777777" w:rsidR="00FB7E5E" w:rsidRPr="00FB7E5E" w:rsidRDefault="00FB7E5E" w:rsidP="00D07F28">
            <w:pPr>
              <w:jc w:val="both"/>
              <w:rPr>
                <w:rFonts w:cstheme="minorHAnsi"/>
                <w:sz w:val="20"/>
                <w:szCs w:val="20"/>
              </w:rPr>
            </w:pPr>
            <w:r w:rsidRPr="00FB7E5E">
              <w:rPr>
                <w:rFonts w:cstheme="minorHAnsi"/>
                <w:sz w:val="20"/>
                <w:szCs w:val="20"/>
              </w:rPr>
              <w:t>Sociedades corredoras</w:t>
            </w:r>
          </w:p>
        </w:tc>
        <w:tc>
          <w:tcPr>
            <w:tcW w:w="722" w:type="dxa"/>
            <w:tcBorders>
              <w:top w:val="nil"/>
              <w:left w:val="nil"/>
              <w:bottom w:val="nil"/>
              <w:right w:val="nil"/>
            </w:tcBorders>
            <w:vAlign w:val="center"/>
            <w:hideMark/>
          </w:tcPr>
          <w:p w14:paraId="5EF95B43" w14:textId="77777777" w:rsidR="00FB7E5E" w:rsidRPr="00FB7E5E" w:rsidRDefault="00FB7E5E" w:rsidP="00D07F28">
            <w:pPr>
              <w:jc w:val="right"/>
              <w:rPr>
                <w:rFonts w:cstheme="minorHAnsi"/>
                <w:sz w:val="20"/>
                <w:szCs w:val="20"/>
              </w:rPr>
            </w:pPr>
            <w:r w:rsidRPr="00FB7E5E">
              <w:rPr>
                <w:rFonts w:cstheme="minorHAnsi"/>
                <w:sz w:val="20"/>
                <w:szCs w:val="20"/>
              </w:rPr>
              <w:t>37</w:t>
            </w:r>
          </w:p>
        </w:tc>
        <w:tc>
          <w:tcPr>
            <w:tcW w:w="1097" w:type="dxa"/>
            <w:tcBorders>
              <w:top w:val="nil"/>
              <w:left w:val="nil"/>
              <w:bottom w:val="nil"/>
              <w:right w:val="nil"/>
            </w:tcBorders>
            <w:vAlign w:val="center"/>
            <w:hideMark/>
          </w:tcPr>
          <w:p w14:paraId="1F2F0DC8" w14:textId="77777777" w:rsidR="00FB7E5E" w:rsidRPr="00FB7E5E" w:rsidRDefault="00FB7E5E" w:rsidP="00D07F28">
            <w:pPr>
              <w:jc w:val="right"/>
              <w:rPr>
                <w:rFonts w:cstheme="minorHAnsi"/>
                <w:sz w:val="20"/>
                <w:szCs w:val="20"/>
              </w:rPr>
            </w:pPr>
            <w:r w:rsidRPr="00FB7E5E">
              <w:rPr>
                <w:rFonts w:cstheme="minorHAnsi"/>
                <w:sz w:val="20"/>
                <w:szCs w:val="20"/>
              </w:rPr>
              <w:t>36</w:t>
            </w:r>
          </w:p>
        </w:tc>
        <w:tc>
          <w:tcPr>
            <w:tcW w:w="938" w:type="dxa"/>
            <w:tcBorders>
              <w:top w:val="nil"/>
              <w:left w:val="nil"/>
              <w:bottom w:val="nil"/>
              <w:right w:val="nil"/>
            </w:tcBorders>
            <w:vAlign w:val="center"/>
            <w:hideMark/>
          </w:tcPr>
          <w:p w14:paraId="6B306F78" w14:textId="77777777" w:rsidR="00FB7E5E" w:rsidRPr="00FB7E5E" w:rsidRDefault="00FB7E5E" w:rsidP="00D07F28">
            <w:pPr>
              <w:jc w:val="right"/>
              <w:rPr>
                <w:rFonts w:cstheme="minorHAnsi"/>
                <w:sz w:val="20"/>
                <w:szCs w:val="20"/>
              </w:rPr>
            </w:pPr>
            <w:r w:rsidRPr="00FB7E5E">
              <w:rPr>
                <w:rFonts w:cstheme="minorHAnsi"/>
                <w:sz w:val="20"/>
                <w:szCs w:val="20"/>
              </w:rPr>
              <w:t>36</w:t>
            </w:r>
          </w:p>
        </w:tc>
        <w:tc>
          <w:tcPr>
            <w:tcW w:w="1143" w:type="dxa"/>
            <w:tcBorders>
              <w:top w:val="nil"/>
              <w:left w:val="nil"/>
              <w:bottom w:val="nil"/>
              <w:right w:val="nil"/>
            </w:tcBorders>
            <w:vAlign w:val="center"/>
            <w:hideMark/>
          </w:tcPr>
          <w:p w14:paraId="3C31492D" w14:textId="68DA54F6" w:rsidR="00FB7E5E" w:rsidRPr="00FB7E5E" w:rsidRDefault="00B97836" w:rsidP="00D07F28">
            <w:pPr>
              <w:jc w:val="right"/>
              <w:rPr>
                <w:rFonts w:cstheme="minorHAnsi"/>
                <w:sz w:val="20"/>
                <w:szCs w:val="20"/>
              </w:rPr>
            </w:pPr>
            <w:r>
              <w:rPr>
                <w:rFonts w:cstheme="minorHAnsi"/>
                <w:sz w:val="20"/>
                <w:szCs w:val="20"/>
              </w:rPr>
              <w:t>0</w:t>
            </w:r>
          </w:p>
        </w:tc>
        <w:tc>
          <w:tcPr>
            <w:tcW w:w="1832" w:type="dxa"/>
            <w:tcBorders>
              <w:top w:val="nil"/>
              <w:left w:val="nil"/>
              <w:bottom w:val="nil"/>
              <w:right w:val="nil"/>
            </w:tcBorders>
            <w:vAlign w:val="center"/>
            <w:hideMark/>
          </w:tcPr>
          <w:p w14:paraId="49D1237B" w14:textId="77777777" w:rsidR="00FB7E5E" w:rsidRPr="00FB7E5E" w:rsidRDefault="00FB7E5E" w:rsidP="00D07F28">
            <w:pPr>
              <w:jc w:val="center"/>
              <w:rPr>
                <w:rFonts w:cstheme="minorHAnsi"/>
                <w:sz w:val="20"/>
                <w:szCs w:val="20"/>
              </w:rPr>
            </w:pPr>
            <w:r w:rsidRPr="00FB7E5E">
              <w:rPr>
                <w:rFonts w:cstheme="minorHAnsi"/>
                <w:sz w:val="20"/>
                <w:szCs w:val="20"/>
              </w:rPr>
              <w:t>1</w:t>
            </w:r>
          </w:p>
        </w:tc>
      </w:tr>
      <w:tr w:rsidR="00FB7E5E" w:rsidRPr="00FB7E5E" w14:paraId="7609934B" w14:textId="77777777" w:rsidTr="00D07F28">
        <w:trPr>
          <w:trHeight w:val="20"/>
          <w:jc w:val="center"/>
        </w:trPr>
        <w:tc>
          <w:tcPr>
            <w:tcW w:w="3402" w:type="dxa"/>
            <w:tcBorders>
              <w:top w:val="nil"/>
              <w:left w:val="nil"/>
              <w:bottom w:val="nil"/>
              <w:right w:val="nil"/>
            </w:tcBorders>
            <w:hideMark/>
          </w:tcPr>
          <w:p w14:paraId="137BA661" w14:textId="77777777" w:rsidR="00FB7E5E" w:rsidRPr="00FB7E5E" w:rsidRDefault="00FB7E5E" w:rsidP="00D07F28">
            <w:pPr>
              <w:jc w:val="both"/>
              <w:rPr>
                <w:rFonts w:cstheme="minorHAnsi"/>
                <w:sz w:val="20"/>
                <w:szCs w:val="20"/>
              </w:rPr>
            </w:pPr>
            <w:r w:rsidRPr="00FB7E5E">
              <w:rPr>
                <w:rFonts w:cstheme="minorHAnsi"/>
                <w:sz w:val="20"/>
                <w:szCs w:val="20"/>
              </w:rPr>
              <w:t>Corredores de seguros</w:t>
            </w:r>
          </w:p>
        </w:tc>
        <w:tc>
          <w:tcPr>
            <w:tcW w:w="722" w:type="dxa"/>
            <w:tcBorders>
              <w:top w:val="nil"/>
              <w:left w:val="nil"/>
              <w:bottom w:val="nil"/>
              <w:right w:val="nil"/>
            </w:tcBorders>
            <w:vAlign w:val="center"/>
            <w:hideMark/>
          </w:tcPr>
          <w:p w14:paraId="09AA9EA6" w14:textId="77777777" w:rsidR="00FB7E5E" w:rsidRPr="00FB7E5E" w:rsidRDefault="00FB7E5E" w:rsidP="00D07F28">
            <w:pPr>
              <w:jc w:val="right"/>
              <w:rPr>
                <w:rFonts w:cstheme="minorHAnsi"/>
                <w:sz w:val="20"/>
                <w:szCs w:val="20"/>
              </w:rPr>
            </w:pPr>
            <w:r w:rsidRPr="00FB7E5E">
              <w:rPr>
                <w:rFonts w:cstheme="minorHAnsi"/>
                <w:sz w:val="20"/>
                <w:szCs w:val="20"/>
              </w:rPr>
              <w:t>989</w:t>
            </w:r>
          </w:p>
        </w:tc>
        <w:tc>
          <w:tcPr>
            <w:tcW w:w="1097" w:type="dxa"/>
            <w:tcBorders>
              <w:top w:val="nil"/>
              <w:left w:val="nil"/>
              <w:bottom w:val="nil"/>
              <w:right w:val="nil"/>
            </w:tcBorders>
            <w:vAlign w:val="center"/>
            <w:hideMark/>
          </w:tcPr>
          <w:p w14:paraId="7194FDC0" w14:textId="77777777" w:rsidR="00FB7E5E" w:rsidRPr="00FB7E5E" w:rsidRDefault="00FB7E5E" w:rsidP="00D07F28">
            <w:pPr>
              <w:jc w:val="right"/>
              <w:rPr>
                <w:rFonts w:cstheme="minorHAnsi"/>
                <w:sz w:val="20"/>
                <w:szCs w:val="20"/>
              </w:rPr>
            </w:pPr>
            <w:r w:rsidRPr="00FB7E5E">
              <w:rPr>
                <w:rFonts w:cstheme="minorHAnsi"/>
                <w:sz w:val="20"/>
                <w:szCs w:val="20"/>
              </w:rPr>
              <w:t>989</w:t>
            </w:r>
          </w:p>
        </w:tc>
        <w:tc>
          <w:tcPr>
            <w:tcW w:w="938" w:type="dxa"/>
            <w:tcBorders>
              <w:top w:val="nil"/>
              <w:left w:val="nil"/>
              <w:bottom w:val="nil"/>
              <w:right w:val="nil"/>
            </w:tcBorders>
            <w:vAlign w:val="center"/>
            <w:hideMark/>
          </w:tcPr>
          <w:p w14:paraId="7BD79878" w14:textId="77777777" w:rsidR="00FB7E5E" w:rsidRPr="00FB7E5E" w:rsidRDefault="00FB7E5E" w:rsidP="00D07F28">
            <w:pPr>
              <w:jc w:val="right"/>
              <w:rPr>
                <w:rFonts w:cstheme="minorHAnsi"/>
                <w:sz w:val="20"/>
                <w:szCs w:val="20"/>
              </w:rPr>
            </w:pPr>
            <w:r w:rsidRPr="00FB7E5E">
              <w:rPr>
                <w:rFonts w:cstheme="minorHAnsi"/>
                <w:sz w:val="20"/>
                <w:szCs w:val="20"/>
              </w:rPr>
              <w:t>671</w:t>
            </w:r>
          </w:p>
        </w:tc>
        <w:tc>
          <w:tcPr>
            <w:tcW w:w="1143" w:type="dxa"/>
            <w:tcBorders>
              <w:top w:val="nil"/>
              <w:left w:val="nil"/>
              <w:bottom w:val="nil"/>
              <w:right w:val="nil"/>
            </w:tcBorders>
            <w:vAlign w:val="center"/>
            <w:hideMark/>
          </w:tcPr>
          <w:p w14:paraId="19013F30" w14:textId="77777777" w:rsidR="00FB7E5E" w:rsidRPr="00FB7E5E" w:rsidRDefault="00FB7E5E" w:rsidP="00D07F28">
            <w:pPr>
              <w:jc w:val="right"/>
              <w:rPr>
                <w:rFonts w:cstheme="minorHAnsi"/>
                <w:sz w:val="20"/>
                <w:szCs w:val="20"/>
              </w:rPr>
            </w:pPr>
            <w:r w:rsidRPr="00FB7E5E">
              <w:rPr>
                <w:rFonts w:cstheme="minorHAnsi"/>
                <w:sz w:val="20"/>
                <w:szCs w:val="20"/>
              </w:rPr>
              <w:t>318</w:t>
            </w:r>
          </w:p>
        </w:tc>
        <w:tc>
          <w:tcPr>
            <w:tcW w:w="1832" w:type="dxa"/>
            <w:tcBorders>
              <w:top w:val="nil"/>
              <w:left w:val="nil"/>
              <w:bottom w:val="nil"/>
              <w:right w:val="nil"/>
            </w:tcBorders>
            <w:vAlign w:val="center"/>
            <w:hideMark/>
          </w:tcPr>
          <w:p w14:paraId="5FE1D732" w14:textId="77777777" w:rsidR="00FB7E5E" w:rsidRPr="00FB7E5E" w:rsidRDefault="00FB7E5E" w:rsidP="00D07F28">
            <w:pPr>
              <w:jc w:val="center"/>
              <w:rPr>
                <w:rFonts w:cstheme="minorHAnsi"/>
                <w:sz w:val="20"/>
                <w:szCs w:val="20"/>
              </w:rPr>
            </w:pPr>
            <w:r w:rsidRPr="00FB7E5E">
              <w:rPr>
                <w:rFonts w:cstheme="minorHAnsi"/>
                <w:sz w:val="20"/>
                <w:szCs w:val="20"/>
              </w:rPr>
              <w:t>N.A.</w:t>
            </w:r>
          </w:p>
        </w:tc>
      </w:tr>
      <w:tr w:rsidR="00FB7E5E" w:rsidRPr="00FB7E5E" w14:paraId="447E5040" w14:textId="77777777" w:rsidTr="00D07F28">
        <w:trPr>
          <w:trHeight w:val="83"/>
          <w:jc w:val="center"/>
        </w:trPr>
        <w:tc>
          <w:tcPr>
            <w:tcW w:w="3402" w:type="dxa"/>
            <w:tcBorders>
              <w:top w:val="nil"/>
              <w:left w:val="nil"/>
              <w:bottom w:val="nil"/>
              <w:right w:val="nil"/>
            </w:tcBorders>
            <w:hideMark/>
          </w:tcPr>
          <w:p w14:paraId="6864A74B" w14:textId="77777777" w:rsidR="00FB7E5E" w:rsidRPr="00FB7E5E" w:rsidRDefault="00FB7E5E" w:rsidP="00D07F28">
            <w:pPr>
              <w:jc w:val="both"/>
              <w:rPr>
                <w:rFonts w:cstheme="minorHAnsi"/>
                <w:sz w:val="20"/>
                <w:szCs w:val="20"/>
              </w:rPr>
            </w:pPr>
            <w:r w:rsidRPr="00FB7E5E">
              <w:rPr>
                <w:rFonts w:cstheme="minorHAnsi"/>
                <w:sz w:val="20"/>
                <w:szCs w:val="20"/>
              </w:rPr>
              <w:t>Sociedades agencia</w:t>
            </w:r>
          </w:p>
        </w:tc>
        <w:tc>
          <w:tcPr>
            <w:tcW w:w="722" w:type="dxa"/>
            <w:tcBorders>
              <w:top w:val="nil"/>
              <w:left w:val="nil"/>
              <w:bottom w:val="nil"/>
              <w:right w:val="nil"/>
            </w:tcBorders>
            <w:vAlign w:val="center"/>
            <w:hideMark/>
          </w:tcPr>
          <w:p w14:paraId="7872DC9B" w14:textId="77777777" w:rsidR="00FB7E5E" w:rsidRPr="00FB7E5E" w:rsidRDefault="00FB7E5E" w:rsidP="00D07F28">
            <w:pPr>
              <w:jc w:val="right"/>
              <w:rPr>
                <w:rFonts w:cstheme="minorHAnsi"/>
                <w:sz w:val="20"/>
                <w:szCs w:val="20"/>
              </w:rPr>
            </w:pPr>
            <w:r w:rsidRPr="00FB7E5E">
              <w:rPr>
                <w:rFonts w:cstheme="minorHAnsi"/>
                <w:sz w:val="20"/>
                <w:szCs w:val="20"/>
              </w:rPr>
              <w:t>51</w:t>
            </w:r>
          </w:p>
        </w:tc>
        <w:tc>
          <w:tcPr>
            <w:tcW w:w="1097" w:type="dxa"/>
            <w:tcBorders>
              <w:top w:val="nil"/>
              <w:left w:val="nil"/>
              <w:bottom w:val="nil"/>
              <w:right w:val="nil"/>
            </w:tcBorders>
            <w:vAlign w:val="center"/>
            <w:hideMark/>
          </w:tcPr>
          <w:p w14:paraId="698629E1" w14:textId="77777777" w:rsidR="00FB7E5E" w:rsidRPr="00FB7E5E" w:rsidRDefault="00FB7E5E" w:rsidP="00D07F28">
            <w:pPr>
              <w:jc w:val="right"/>
              <w:rPr>
                <w:rFonts w:cstheme="minorHAnsi"/>
                <w:sz w:val="20"/>
                <w:szCs w:val="20"/>
              </w:rPr>
            </w:pPr>
            <w:r w:rsidRPr="00FB7E5E">
              <w:rPr>
                <w:rFonts w:cstheme="minorHAnsi"/>
                <w:sz w:val="20"/>
                <w:szCs w:val="20"/>
              </w:rPr>
              <w:t>51</w:t>
            </w:r>
          </w:p>
        </w:tc>
        <w:tc>
          <w:tcPr>
            <w:tcW w:w="938" w:type="dxa"/>
            <w:tcBorders>
              <w:top w:val="nil"/>
              <w:left w:val="nil"/>
              <w:bottom w:val="nil"/>
              <w:right w:val="nil"/>
            </w:tcBorders>
            <w:vAlign w:val="center"/>
            <w:hideMark/>
          </w:tcPr>
          <w:p w14:paraId="5B019B71" w14:textId="77777777" w:rsidR="00FB7E5E" w:rsidRPr="00FB7E5E" w:rsidRDefault="00FB7E5E" w:rsidP="00D07F28">
            <w:pPr>
              <w:jc w:val="right"/>
              <w:rPr>
                <w:rFonts w:cstheme="minorHAnsi"/>
                <w:sz w:val="20"/>
                <w:szCs w:val="20"/>
              </w:rPr>
            </w:pPr>
            <w:r w:rsidRPr="00FB7E5E">
              <w:rPr>
                <w:rFonts w:cstheme="minorHAnsi"/>
                <w:sz w:val="20"/>
                <w:szCs w:val="20"/>
              </w:rPr>
              <w:t>21</w:t>
            </w:r>
          </w:p>
        </w:tc>
        <w:tc>
          <w:tcPr>
            <w:tcW w:w="1143" w:type="dxa"/>
            <w:tcBorders>
              <w:top w:val="nil"/>
              <w:left w:val="nil"/>
              <w:bottom w:val="nil"/>
              <w:right w:val="nil"/>
            </w:tcBorders>
            <w:vAlign w:val="center"/>
            <w:hideMark/>
          </w:tcPr>
          <w:p w14:paraId="67B51DCF" w14:textId="77777777" w:rsidR="00FB7E5E" w:rsidRPr="00FB7E5E" w:rsidRDefault="00FB7E5E" w:rsidP="00D07F28">
            <w:pPr>
              <w:jc w:val="right"/>
              <w:rPr>
                <w:rFonts w:cstheme="minorHAnsi"/>
                <w:sz w:val="20"/>
                <w:szCs w:val="20"/>
              </w:rPr>
            </w:pPr>
            <w:r w:rsidRPr="00FB7E5E">
              <w:rPr>
                <w:rFonts w:cstheme="minorHAnsi"/>
                <w:sz w:val="20"/>
                <w:szCs w:val="20"/>
              </w:rPr>
              <w:t>30</w:t>
            </w:r>
          </w:p>
        </w:tc>
        <w:tc>
          <w:tcPr>
            <w:tcW w:w="1832" w:type="dxa"/>
            <w:tcBorders>
              <w:top w:val="nil"/>
              <w:left w:val="nil"/>
              <w:bottom w:val="nil"/>
              <w:right w:val="nil"/>
            </w:tcBorders>
            <w:vAlign w:val="center"/>
            <w:hideMark/>
          </w:tcPr>
          <w:p w14:paraId="2A456D49" w14:textId="77777777" w:rsidR="00FB7E5E" w:rsidRPr="00FB7E5E" w:rsidRDefault="00FB7E5E" w:rsidP="00D07F28">
            <w:pPr>
              <w:jc w:val="center"/>
              <w:rPr>
                <w:rFonts w:cstheme="minorHAnsi"/>
                <w:sz w:val="20"/>
                <w:szCs w:val="20"/>
              </w:rPr>
            </w:pPr>
            <w:r w:rsidRPr="00FB7E5E">
              <w:rPr>
                <w:rFonts w:cstheme="minorHAnsi"/>
                <w:sz w:val="20"/>
                <w:szCs w:val="20"/>
              </w:rPr>
              <w:t>-</w:t>
            </w:r>
          </w:p>
        </w:tc>
      </w:tr>
      <w:tr w:rsidR="00FB7E5E" w:rsidRPr="00FB7E5E" w14:paraId="5CCB74FE" w14:textId="77777777" w:rsidTr="00D07F28">
        <w:trPr>
          <w:trHeight w:val="20"/>
          <w:jc w:val="center"/>
        </w:trPr>
        <w:tc>
          <w:tcPr>
            <w:tcW w:w="3402" w:type="dxa"/>
            <w:tcBorders>
              <w:top w:val="nil"/>
              <w:left w:val="nil"/>
              <w:bottom w:val="nil"/>
              <w:right w:val="nil"/>
            </w:tcBorders>
            <w:hideMark/>
          </w:tcPr>
          <w:p w14:paraId="3CD99313" w14:textId="77777777" w:rsidR="00FB7E5E" w:rsidRPr="00FB7E5E" w:rsidRDefault="00FB7E5E" w:rsidP="00D07F28">
            <w:pPr>
              <w:jc w:val="both"/>
              <w:rPr>
                <w:rFonts w:cstheme="minorHAnsi"/>
                <w:sz w:val="20"/>
                <w:szCs w:val="20"/>
              </w:rPr>
            </w:pPr>
            <w:r w:rsidRPr="00FB7E5E">
              <w:rPr>
                <w:rFonts w:cstheme="minorHAnsi"/>
                <w:sz w:val="20"/>
                <w:szCs w:val="20"/>
              </w:rPr>
              <w:t>Agentes de seguros</w:t>
            </w:r>
          </w:p>
        </w:tc>
        <w:tc>
          <w:tcPr>
            <w:tcW w:w="722" w:type="dxa"/>
            <w:tcBorders>
              <w:top w:val="nil"/>
              <w:left w:val="nil"/>
              <w:bottom w:val="nil"/>
              <w:right w:val="nil"/>
            </w:tcBorders>
            <w:vAlign w:val="center"/>
            <w:hideMark/>
          </w:tcPr>
          <w:p w14:paraId="01EC01FE" w14:textId="77777777" w:rsidR="00FB7E5E" w:rsidRPr="00FB7E5E" w:rsidRDefault="00FB7E5E" w:rsidP="00D07F28">
            <w:pPr>
              <w:jc w:val="right"/>
              <w:rPr>
                <w:rFonts w:cstheme="minorHAnsi"/>
                <w:sz w:val="20"/>
                <w:szCs w:val="20"/>
              </w:rPr>
            </w:pPr>
            <w:r w:rsidRPr="00FB7E5E">
              <w:rPr>
                <w:rFonts w:cstheme="minorHAnsi"/>
                <w:sz w:val="20"/>
                <w:szCs w:val="20"/>
              </w:rPr>
              <w:t>2 863</w:t>
            </w:r>
          </w:p>
        </w:tc>
        <w:tc>
          <w:tcPr>
            <w:tcW w:w="1097" w:type="dxa"/>
            <w:tcBorders>
              <w:top w:val="nil"/>
              <w:left w:val="nil"/>
              <w:bottom w:val="nil"/>
              <w:right w:val="nil"/>
            </w:tcBorders>
            <w:vAlign w:val="center"/>
            <w:hideMark/>
          </w:tcPr>
          <w:p w14:paraId="561528B1" w14:textId="77777777" w:rsidR="00FB7E5E" w:rsidRPr="00FB7E5E" w:rsidRDefault="00FB7E5E" w:rsidP="00D07F28">
            <w:pPr>
              <w:jc w:val="right"/>
              <w:rPr>
                <w:rFonts w:cstheme="minorHAnsi"/>
                <w:sz w:val="20"/>
                <w:szCs w:val="20"/>
              </w:rPr>
            </w:pPr>
            <w:r w:rsidRPr="00FB7E5E">
              <w:rPr>
                <w:rFonts w:cstheme="minorHAnsi"/>
                <w:sz w:val="20"/>
                <w:szCs w:val="20"/>
              </w:rPr>
              <w:t>2 863</w:t>
            </w:r>
          </w:p>
        </w:tc>
        <w:tc>
          <w:tcPr>
            <w:tcW w:w="938" w:type="dxa"/>
            <w:tcBorders>
              <w:top w:val="nil"/>
              <w:left w:val="nil"/>
              <w:bottom w:val="nil"/>
              <w:right w:val="nil"/>
            </w:tcBorders>
            <w:vAlign w:val="center"/>
            <w:hideMark/>
          </w:tcPr>
          <w:p w14:paraId="04C6E9B8" w14:textId="77777777" w:rsidR="00FB7E5E" w:rsidRPr="00FB7E5E" w:rsidRDefault="00FB7E5E" w:rsidP="00D07F28">
            <w:pPr>
              <w:jc w:val="right"/>
              <w:rPr>
                <w:rFonts w:cstheme="minorHAnsi"/>
                <w:sz w:val="20"/>
                <w:szCs w:val="20"/>
              </w:rPr>
            </w:pPr>
            <w:r w:rsidRPr="00FB7E5E">
              <w:rPr>
                <w:rFonts w:cstheme="minorHAnsi"/>
                <w:sz w:val="20"/>
                <w:szCs w:val="20"/>
              </w:rPr>
              <w:t>1 027</w:t>
            </w:r>
          </w:p>
        </w:tc>
        <w:tc>
          <w:tcPr>
            <w:tcW w:w="1143" w:type="dxa"/>
            <w:tcBorders>
              <w:top w:val="nil"/>
              <w:left w:val="nil"/>
              <w:bottom w:val="nil"/>
              <w:right w:val="nil"/>
            </w:tcBorders>
            <w:vAlign w:val="center"/>
            <w:hideMark/>
          </w:tcPr>
          <w:p w14:paraId="5E00F309" w14:textId="77777777" w:rsidR="00FB7E5E" w:rsidRPr="00FB7E5E" w:rsidRDefault="00FB7E5E" w:rsidP="00D07F28">
            <w:pPr>
              <w:jc w:val="right"/>
              <w:rPr>
                <w:rFonts w:cstheme="minorHAnsi"/>
                <w:sz w:val="20"/>
                <w:szCs w:val="20"/>
              </w:rPr>
            </w:pPr>
            <w:r w:rsidRPr="00FB7E5E">
              <w:rPr>
                <w:rFonts w:cstheme="minorHAnsi"/>
                <w:sz w:val="20"/>
                <w:szCs w:val="20"/>
              </w:rPr>
              <w:t>1 836</w:t>
            </w:r>
          </w:p>
        </w:tc>
        <w:tc>
          <w:tcPr>
            <w:tcW w:w="1832" w:type="dxa"/>
            <w:tcBorders>
              <w:top w:val="nil"/>
              <w:left w:val="nil"/>
              <w:bottom w:val="nil"/>
              <w:right w:val="nil"/>
            </w:tcBorders>
            <w:vAlign w:val="center"/>
            <w:hideMark/>
          </w:tcPr>
          <w:p w14:paraId="65788D23" w14:textId="77777777" w:rsidR="00FB7E5E" w:rsidRPr="00FB7E5E" w:rsidRDefault="00FB7E5E" w:rsidP="00D07F28">
            <w:pPr>
              <w:jc w:val="center"/>
              <w:rPr>
                <w:rFonts w:cstheme="minorHAnsi"/>
                <w:sz w:val="20"/>
                <w:szCs w:val="20"/>
              </w:rPr>
            </w:pPr>
            <w:r w:rsidRPr="00FB7E5E">
              <w:rPr>
                <w:rFonts w:cstheme="minorHAnsi"/>
                <w:sz w:val="20"/>
                <w:szCs w:val="20"/>
              </w:rPr>
              <w:t>N.A.</w:t>
            </w:r>
          </w:p>
        </w:tc>
      </w:tr>
      <w:tr w:rsidR="00FB7E5E" w:rsidRPr="00FB7E5E" w14:paraId="69BF30AE" w14:textId="77777777" w:rsidTr="00D07F28">
        <w:trPr>
          <w:trHeight w:val="20"/>
          <w:jc w:val="center"/>
        </w:trPr>
        <w:tc>
          <w:tcPr>
            <w:tcW w:w="3402" w:type="dxa"/>
            <w:tcBorders>
              <w:top w:val="nil"/>
              <w:left w:val="nil"/>
              <w:bottom w:val="nil"/>
              <w:right w:val="nil"/>
            </w:tcBorders>
            <w:hideMark/>
          </w:tcPr>
          <w:p w14:paraId="04542917" w14:textId="77777777" w:rsidR="00FB7E5E" w:rsidRPr="00FB7E5E" w:rsidRDefault="00FB7E5E" w:rsidP="00D07F28">
            <w:pPr>
              <w:jc w:val="both"/>
              <w:rPr>
                <w:rFonts w:cstheme="minorHAnsi"/>
                <w:sz w:val="20"/>
                <w:szCs w:val="20"/>
              </w:rPr>
            </w:pPr>
            <w:r w:rsidRPr="00FB7E5E">
              <w:rPr>
                <w:rFonts w:cstheme="minorHAnsi"/>
                <w:sz w:val="20"/>
                <w:szCs w:val="20"/>
              </w:rPr>
              <w:t>Operadores de seguros autoexpedibles</w:t>
            </w:r>
          </w:p>
        </w:tc>
        <w:tc>
          <w:tcPr>
            <w:tcW w:w="722" w:type="dxa"/>
            <w:tcBorders>
              <w:top w:val="nil"/>
              <w:left w:val="nil"/>
              <w:bottom w:val="nil"/>
              <w:right w:val="nil"/>
            </w:tcBorders>
            <w:vAlign w:val="center"/>
            <w:hideMark/>
          </w:tcPr>
          <w:p w14:paraId="2BB911A7" w14:textId="77777777" w:rsidR="00FB7E5E" w:rsidRPr="00FB7E5E" w:rsidRDefault="00FB7E5E" w:rsidP="00D07F28">
            <w:pPr>
              <w:jc w:val="right"/>
              <w:rPr>
                <w:rFonts w:cstheme="minorHAnsi"/>
                <w:sz w:val="20"/>
                <w:szCs w:val="20"/>
              </w:rPr>
            </w:pPr>
            <w:r w:rsidRPr="00FB7E5E">
              <w:rPr>
                <w:rFonts w:cstheme="minorHAnsi"/>
                <w:sz w:val="20"/>
                <w:szCs w:val="20"/>
              </w:rPr>
              <w:t>139</w:t>
            </w:r>
          </w:p>
        </w:tc>
        <w:tc>
          <w:tcPr>
            <w:tcW w:w="1097" w:type="dxa"/>
            <w:tcBorders>
              <w:top w:val="nil"/>
              <w:left w:val="nil"/>
              <w:bottom w:val="nil"/>
              <w:right w:val="nil"/>
            </w:tcBorders>
            <w:vAlign w:val="center"/>
            <w:hideMark/>
          </w:tcPr>
          <w:p w14:paraId="75E6F347" w14:textId="77777777" w:rsidR="00FB7E5E" w:rsidRPr="00FB7E5E" w:rsidRDefault="00FB7E5E" w:rsidP="00D07F28">
            <w:pPr>
              <w:jc w:val="right"/>
              <w:rPr>
                <w:rFonts w:cstheme="minorHAnsi"/>
                <w:sz w:val="20"/>
                <w:szCs w:val="20"/>
              </w:rPr>
            </w:pPr>
            <w:r w:rsidRPr="00FB7E5E">
              <w:rPr>
                <w:rFonts w:cstheme="minorHAnsi"/>
                <w:sz w:val="20"/>
                <w:szCs w:val="20"/>
              </w:rPr>
              <w:t>139</w:t>
            </w:r>
          </w:p>
        </w:tc>
        <w:tc>
          <w:tcPr>
            <w:tcW w:w="938" w:type="dxa"/>
            <w:tcBorders>
              <w:top w:val="nil"/>
              <w:left w:val="nil"/>
              <w:bottom w:val="nil"/>
              <w:right w:val="nil"/>
            </w:tcBorders>
            <w:vAlign w:val="center"/>
            <w:hideMark/>
          </w:tcPr>
          <w:p w14:paraId="380FF32A" w14:textId="77777777" w:rsidR="00FB7E5E" w:rsidRPr="00FB7E5E" w:rsidRDefault="00FB7E5E" w:rsidP="00D07F28">
            <w:pPr>
              <w:jc w:val="right"/>
              <w:rPr>
                <w:rFonts w:cstheme="minorHAnsi"/>
                <w:sz w:val="20"/>
                <w:szCs w:val="20"/>
              </w:rPr>
            </w:pPr>
            <w:r w:rsidRPr="00FB7E5E">
              <w:rPr>
                <w:rFonts w:cstheme="minorHAnsi"/>
                <w:sz w:val="20"/>
                <w:szCs w:val="20"/>
              </w:rPr>
              <w:t>93</w:t>
            </w:r>
          </w:p>
        </w:tc>
        <w:tc>
          <w:tcPr>
            <w:tcW w:w="1143" w:type="dxa"/>
            <w:tcBorders>
              <w:top w:val="nil"/>
              <w:left w:val="nil"/>
              <w:bottom w:val="nil"/>
              <w:right w:val="nil"/>
            </w:tcBorders>
            <w:vAlign w:val="center"/>
            <w:hideMark/>
          </w:tcPr>
          <w:p w14:paraId="56F05C36" w14:textId="77777777" w:rsidR="00FB7E5E" w:rsidRPr="00FB7E5E" w:rsidRDefault="00FB7E5E" w:rsidP="00D07F28">
            <w:pPr>
              <w:jc w:val="right"/>
              <w:rPr>
                <w:rFonts w:cstheme="minorHAnsi"/>
                <w:sz w:val="20"/>
                <w:szCs w:val="20"/>
              </w:rPr>
            </w:pPr>
            <w:r w:rsidRPr="00FB7E5E">
              <w:rPr>
                <w:rFonts w:cstheme="minorHAnsi"/>
                <w:sz w:val="20"/>
                <w:szCs w:val="20"/>
              </w:rPr>
              <w:t>46</w:t>
            </w:r>
          </w:p>
        </w:tc>
        <w:tc>
          <w:tcPr>
            <w:tcW w:w="1832" w:type="dxa"/>
            <w:tcBorders>
              <w:top w:val="nil"/>
              <w:left w:val="nil"/>
              <w:bottom w:val="nil"/>
              <w:right w:val="nil"/>
            </w:tcBorders>
            <w:vAlign w:val="center"/>
            <w:hideMark/>
          </w:tcPr>
          <w:p w14:paraId="5E0E682B" w14:textId="77777777" w:rsidR="00FB7E5E" w:rsidRPr="00FB7E5E" w:rsidRDefault="00FB7E5E" w:rsidP="00D07F28">
            <w:pPr>
              <w:jc w:val="center"/>
              <w:rPr>
                <w:rFonts w:cstheme="minorHAnsi"/>
                <w:sz w:val="20"/>
                <w:szCs w:val="20"/>
              </w:rPr>
            </w:pPr>
            <w:r w:rsidRPr="00FB7E5E">
              <w:rPr>
                <w:rFonts w:cstheme="minorHAnsi"/>
                <w:sz w:val="20"/>
                <w:szCs w:val="20"/>
              </w:rPr>
              <w:t>N.A.</w:t>
            </w:r>
          </w:p>
        </w:tc>
      </w:tr>
      <w:tr w:rsidR="00FB7E5E" w:rsidRPr="00FB7E5E" w14:paraId="408843E2" w14:textId="77777777" w:rsidTr="00B04F96">
        <w:trPr>
          <w:trHeight w:val="20"/>
          <w:jc w:val="center"/>
        </w:trPr>
        <w:tc>
          <w:tcPr>
            <w:tcW w:w="9134" w:type="dxa"/>
            <w:gridSpan w:val="6"/>
            <w:tcBorders>
              <w:top w:val="nil"/>
              <w:bottom w:val="nil"/>
            </w:tcBorders>
            <w:shd w:val="clear" w:color="auto" w:fill="1F3864" w:themeFill="accent1" w:themeFillShade="80"/>
            <w:hideMark/>
          </w:tcPr>
          <w:p w14:paraId="66BB751A" w14:textId="77777777" w:rsidR="00FB7E5E" w:rsidRPr="00FB7E5E" w:rsidRDefault="00FB7E5E" w:rsidP="00D07F28">
            <w:pPr>
              <w:jc w:val="center"/>
              <w:rPr>
                <w:rFonts w:cstheme="minorHAnsi"/>
                <w:b/>
                <w:bCs/>
                <w:sz w:val="20"/>
                <w:szCs w:val="20"/>
              </w:rPr>
            </w:pPr>
            <w:r w:rsidRPr="00FB7E5E">
              <w:rPr>
                <w:rFonts w:cstheme="minorHAnsi"/>
                <w:b/>
                <w:bCs/>
                <w:color w:val="FFFFFF" w:themeColor="background1"/>
                <w:sz w:val="20"/>
                <w:szCs w:val="20"/>
              </w:rPr>
              <w:t>Dic-2021</w:t>
            </w:r>
          </w:p>
        </w:tc>
      </w:tr>
      <w:tr w:rsidR="00FB7E5E" w:rsidRPr="00FB7E5E" w14:paraId="196466C8" w14:textId="77777777" w:rsidTr="00D07F28">
        <w:trPr>
          <w:trHeight w:val="20"/>
          <w:jc w:val="center"/>
        </w:trPr>
        <w:tc>
          <w:tcPr>
            <w:tcW w:w="3402" w:type="dxa"/>
            <w:tcBorders>
              <w:top w:val="nil"/>
              <w:left w:val="nil"/>
              <w:bottom w:val="nil"/>
              <w:right w:val="nil"/>
            </w:tcBorders>
            <w:hideMark/>
          </w:tcPr>
          <w:p w14:paraId="46A0FBFC" w14:textId="77777777" w:rsidR="00FB7E5E" w:rsidRPr="00FB7E5E" w:rsidRDefault="00FB7E5E" w:rsidP="00D07F28">
            <w:pPr>
              <w:jc w:val="both"/>
              <w:rPr>
                <w:rFonts w:cstheme="minorHAnsi"/>
                <w:sz w:val="20"/>
                <w:szCs w:val="20"/>
              </w:rPr>
            </w:pPr>
            <w:r w:rsidRPr="00FB7E5E">
              <w:rPr>
                <w:rFonts w:cstheme="minorHAnsi"/>
                <w:sz w:val="20"/>
                <w:szCs w:val="20"/>
              </w:rPr>
              <w:t>Aseguradoras</w:t>
            </w:r>
          </w:p>
        </w:tc>
        <w:tc>
          <w:tcPr>
            <w:tcW w:w="722" w:type="dxa"/>
            <w:tcBorders>
              <w:top w:val="nil"/>
              <w:left w:val="nil"/>
              <w:bottom w:val="nil"/>
              <w:right w:val="nil"/>
            </w:tcBorders>
            <w:vAlign w:val="center"/>
            <w:hideMark/>
          </w:tcPr>
          <w:p w14:paraId="28EFC5F2"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1097" w:type="dxa"/>
            <w:tcBorders>
              <w:top w:val="nil"/>
              <w:left w:val="nil"/>
              <w:bottom w:val="nil"/>
              <w:right w:val="nil"/>
            </w:tcBorders>
            <w:vAlign w:val="center"/>
            <w:hideMark/>
          </w:tcPr>
          <w:p w14:paraId="11898EC3"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938" w:type="dxa"/>
            <w:tcBorders>
              <w:top w:val="nil"/>
              <w:left w:val="nil"/>
              <w:bottom w:val="nil"/>
              <w:right w:val="nil"/>
            </w:tcBorders>
            <w:vAlign w:val="center"/>
            <w:hideMark/>
          </w:tcPr>
          <w:p w14:paraId="65368B01" w14:textId="77777777" w:rsidR="00FB7E5E" w:rsidRPr="00FB7E5E" w:rsidRDefault="00FB7E5E" w:rsidP="00D07F28">
            <w:pPr>
              <w:jc w:val="right"/>
              <w:rPr>
                <w:rFonts w:cstheme="minorHAnsi"/>
                <w:sz w:val="20"/>
                <w:szCs w:val="20"/>
              </w:rPr>
            </w:pPr>
            <w:r w:rsidRPr="00FB7E5E">
              <w:rPr>
                <w:rFonts w:cstheme="minorHAnsi"/>
                <w:sz w:val="20"/>
                <w:szCs w:val="20"/>
              </w:rPr>
              <w:t>13</w:t>
            </w:r>
          </w:p>
        </w:tc>
        <w:tc>
          <w:tcPr>
            <w:tcW w:w="1143" w:type="dxa"/>
            <w:tcBorders>
              <w:top w:val="nil"/>
              <w:left w:val="nil"/>
              <w:bottom w:val="nil"/>
              <w:right w:val="nil"/>
            </w:tcBorders>
            <w:vAlign w:val="center"/>
            <w:hideMark/>
          </w:tcPr>
          <w:p w14:paraId="787FA018" w14:textId="10224ADF" w:rsidR="00FB7E5E" w:rsidRPr="00FB7E5E" w:rsidRDefault="00B97836" w:rsidP="00D07F28">
            <w:pPr>
              <w:jc w:val="right"/>
              <w:rPr>
                <w:rFonts w:cstheme="minorHAnsi"/>
                <w:sz w:val="20"/>
                <w:szCs w:val="20"/>
              </w:rPr>
            </w:pPr>
            <w:r>
              <w:rPr>
                <w:rFonts w:cstheme="minorHAnsi"/>
                <w:sz w:val="20"/>
                <w:szCs w:val="20"/>
              </w:rPr>
              <w:t>0</w:t>
            </w:r>
          </w:p>
        </w:tc>
        <w:tc>
          <w:tcPr>
            <w:tcW w:w="1832" w:type="dxa"/>
            <w:tcBorders>
              <w:top w:val="nil"/>
              <w:left w:val="nil"/>
              <w:bottom w:val="nil"/>
              <w:right w:val="nil"/>
            </w:tcBorders>
            <w:vAlign w:val="center"/>
            <w:hideMark/>
          </w:tcPr>
          <w:p w14:paraId="532DA6CA" w14:textId="77777777" w:rsidR="00FB7E5E" w:rsidRPr="00FB7E5E" w:rsidRDefault="00FB7E5E" w:rsidP="00D07F28">
            <w:pPr>
              <w:jc w:val="center"/>
              <w:rPr>
                <w:rFonts w:cstheme="minorHAnsi"/>
                <w:sz w:val="20"/>
                <w:szCs w:val="20"/>
              </w:rPr>
            </w:pPr>
            <w:r w:rsidRPr="00FB7E5E">
              <w:rPr>
                <w:rFonts w:cstheme="minorHAnsi"/>
                <w:sz w:val="20"/>
                <w:szCs w:val="20"/>
              </w:rPr>
              <w:t>1</w:t>
            </w:r>
            <w:r w:rsidRPr="00C218BC">
              <w:rPr>
                <w:rFonts w:cstheme="minorHAnsi"/>
                <w:sz w:val="20"/>
                <w:szCs w:val="20"/>
                <w:vertAlign w:val="superscript"/>
              </w:rPr>
              <w:t>3</w:t>
            </w:r>
            <w:r w:rsidRPr="00FB7E5E">
              <w:rPr>
                <w:rFonts w:cstheme="minorHAnsi"/>
                <w:sz w:val="20"/>
                <w:szCs w:val="20"/>
                <w:vertAlign w:val="superscript"/>
              </w:rPr>
              <w:t>/</w:t>
            </w:r>
          </w:p>
        </w:tc>
      </w:tr>
      <w:tr w:rsidR="00FB7E5E" w:rsidRPr="00FB7E5E" w14:paraId="79B64319" w14:textId="77777777" w:rsidTr="00D07F28">
        <w:trPr>
          <w:trHeight w:val="20"/>
          <w:jc w:val="center"/>
        </w:trPr>
        <w:tc>
          <w:tcPr>
            <w:tcW w:w="3402" w:type="dxa"/>
            <w:tcBorders>
              <w:top w:val="nil"/>
              <w:left w:val="nil"/>
              <w:bottom w:val="nil"/>
              <w:right w:val="nil"/>
            </w:tcBorders>
            <w:hideMark/>
          </w:tcPr>
          <w:p w14:paraId="3BC7C080" w14:textId="77777777" w:rsidR="00FB7E5E" w:rsidRPr="00FB7E5E" w:rsidRDefault="00FB7E5E" w:rsidP="00D07F28">
            <w:pPr>
              <w:jc w:val="both"/>
              <w:rPr>
                <w:rFonts w:cstheme="minorHAnsi"/>
                <w:sz w:val="20"/>
                <w:szCs w:val="20"/>
              </w:rPr>
            </w:pPr>
            <w:r w:rsidRPr="00FB7E5E">
              <w:rPr>
                <w:rFonts w:cstheme="minorHAnsi"/>
                <w:sz w:val="20"/>
                <w:szCs w:val="20"/>
              </w:rPr>
              <w:t>Sociedades corredoras</w:t>
            </w:r>
          </w:p>
        </w:tc>
        <w:tc>
          <w:tcPr>
            <w:tcW w:w="722" w:type="dxa"/>
            <w:tcBorders>
              <w:top w:val="nil"/>
              <w:left w:val="nil"/>
              <w:bottom w:val="nil"/>
              <w:right w:val="nil"/>
            </w:tcBorders>
            <w:vAlign w:val="center"/>
            <w:hideMark/>
          </w:tcPr>
          <w:p w14:paraId="7930D107" w14:textId="77777777" w:rsidR="00FB7E5E" w:rsidRPr="00FB7E5E" w:rsidRDefault="00FB7E5E" w:rsidP="00D07F28">
            <w:pPr>
              <w:jc w:val="right"/>
              <w:rPr>
                <w:rFonts w:cstheme="minorHAnsi"/>
                <w:sz w:val="20"/>
                <w:szCs w:val="20"/>
              </w:rPr>
            </w:pPr>
            <w:r w:rsidRPr="00FB7E5E">
              <w:rPr>
                <w:rFonts w:cstheme="minorHAnsi"/>
                <w:sz w:val="20"/>
                <w:szCs w:val="20"/>
              </w:rPr>
              <w:t>36</w:t>
            </w:r>
          </w:p>
        </w:tc>
        <w:tc>
          <w:tcPr>
            <w:tcW w:w="1097" w:type="dxa"/>
            <w:tcBorders>
              <w:top w:val="nil"/>
              <w:left w:val="nil"/>
              <w:bottom w:val="nil"/>
              <w:right w:val="nil"/>
            </w:tcBorders>
            <w:vAlign w:val="center"/>
            <w:hideMark/>
          </w:tcPr>
          <w:p w14:paraId="60CFF446" w14:textId="77777777" w:rsidR="00FB7E5E" w:rsidRPr="00FB7E5E" w:rsidRDefault="00FB7E5E" w:rsidP="00D07F28">
            <w:pPr>
              <w:jc w:val="right"/>
              <w:rPr>
                <w:rFonts w:cstheme="minorHAnsi"/>
                <w:sz w:val="20"/>
                <w:szCs w:val="20"/>
              </w:rPr>
            </w:pPr>
            <w:r w:rsidRPr="00FB7E5E">
              <w:rPr>
                <w:rFonts w:cstheme="minorHAnsi"/>
                <w:sz w:val="20"/>
                <w:szCs w:val="20"/>
              </w:rPr>
              <w:t>36</w:t>
            </w:r>
          </w:p>
        </w:tc>
        <w:tc>
          <w:tcPr>
            <w:tcW w:w="938" w:type="dxa"/>
            <w:tcBorders>
              <w:top w:val="nil"/>
              <w:left w:val="nil"/>
              <w:bottom w:val="nil"/>
              <w:right w:val="nil"/>
            </w:tcBorders>
            <w:vAlign w:val="center"/>
            <w:hideMark/>
          </w:tcPr>
          <w:p w14:paraId="24DB0FA7" w14:textId="77777777" w:rsidR="00FB7E5E" w:rsidRPr="00FB7E5E" w:rsidRDefault="00FB7E5E" w:rsidP="00D07F28">
            <w:pPr>
              <w:jc w:val="right"/>
              <w:rPr>
                <w:rFonts w:cstheme="minorHAnsi"/>
                <w:sz w:val="20"/>
                <w:szCs w:val="20"/>
              </w:rPr>
            </w:pPr>
            <w:r w:rsidRPr="00FB7E5E">
              <w:rPr>
                <w:rFonts w:cstheme="minorHAnsi"/>
                <w:sz w:val="20"/>
                <w:szCs w:val="20"/>
              </w:rPr>
              <w:t>35</w:t>
            </w:r>
          </w:p>
        </w:tc>
        <w:tc>
          <w:tcPr>
            <w:tcW w:w="1143" w:type="dxa"/>
            <w:tcBorders>
              <w:top w:val="nil"/>
              <w:left w:val="nil"/>
              <w:bottom w:val="nil"/>
              <w:right w:val="nil"/>
            </w:tcBorders>
            <w:vAlign w:val="center"/>
            <w:hideMark/>
          </w:tcPr>
          <w:p w14:paraId="02F43491" w14:textId="080768E0" w:rsidR="00FB7E5E" w:rsidRPr="00FB7E5E" w:rsidRDefault="00B97836" w:rsidP="00D07F28">
            <w:pPr>
              <w:jc w:val="right"/>
              <w:rPr>
                <w:rFonts w:cstheme="minorHAnsi"/>
                <w:sz w:val="20"/>
                <w:szCs w:val="20"/>
              </w:rPr>
            </w:pPr>
            <w:r>
              <w:rPr>
                <w:rFonts w:cstheme="minorHAnsi"/>
                <w:sz w:val="20"/>
                <w:szCs w:val="20"/>
              </w:rPr>
              <w:t>0</w:t>
            </w:r>
          </w:p>
        </w:tc>
        <w:tc>
          <w:tcPr>
            <w:tcW w:w="1832" w:type="dxa"/>
            <w:tcBorders>
              <w:top w:val="nil"/>
              <w:left w:val="nil"/>
              <w:bottom w:val="nil"/>
              <w:right w:val="nil"/>
            </w:tcBorders>
            <w:vAlign w:val="center"/>
            <w:hideMark/>
          </w:tcPr>
          <w:p w14:paraId="6D91494F" w14:textId="77777777" w:rsidR="00FB7E5E" w:rsidRPr="00FB7E5E" w:rsidRDefault="00FB7E5E" w:rsidP="00D07F28">
            <w:pPr>
              <w:jc w:val="center"/>
              <w:rPr>
                <w:rFonts w:cstheme="minorHAnsi"/>
                <w:sz w:val="20"/>
                <w:szCs w:val="20"/>
              </w:rPr>
            </w:pPr>
            <w:r w:rsidRPr="00FB7E5E">
              <w:rPr>
                <w:rFonts w:cstheme="minorHAnsi"/>
                <w:sz w:val="20"/>
                <w:szCs w:val="20"/>
              </w:rPr>
              <w:t>1</w:t>
            </w:r>
          </w:p>
        </w:tc>
      </w:tr>
      <w:tr w:rsidR="00FB7E5E" w:rsidRPr="00FB7E5E" w14:paraId="5EDADD5C" w14:textId="77777777" w:rsidTr="00D07F28">
        <w:trPr>
          <w:trHeight w:val="20"/>
          <w:jc w:val="center"/>
        </w:trPr>
        <w:tc>
          <w:tcPr>
            <w:tcW w:w="3402" w:type="dxa"/>
            <w:tcBorders>
              <w:top w:val="nil"/>
              <w:left w:val="nil"/>
              <w:bottom w:val="nil"/>
              <w:right w:val="nil"/>
            </w:tcBorders>
            <w:hideMark/>
          </w:tcPr>
          <w:p w14:paraId="60392079" w14:textId="77777777" w:rsidR="00FB7E5E" w:rsidRPr="00FB7E5E" w:rsidRDefault="00FB7E5E" w:rsidP="00D07F28">
            <w:pPr>
              <w:jc w:val="both"/>
              <w:rPr>
                <w:rFonts w:cstheme="minorHAnsi"/>
                <w:sz w:val="20"/>
                <w:szCs w:val="20"/>
              </w:rPr>
            </w:pPr>
            <w:r w:rsidRPr="00FB7E5E">
              <w:rPr>
                <w:rFonts w:cstheme="minorHAnsi"/>
                <w:sz w:val="20"/>
                <w:szCs w:val="20"/>
              </w:rPr>
              <w:t>Corredores de seguros</w:t>
            </w:r>
          </w:p>
        </w:tc>
        <w:tc>
          <w:tcPr>
            <w:tcW w:w="722" w:type="dxa"/>
            <w:tcBorders>
              <w:top w:val="nil"/>
              <w:left w:val="nil"/>
              <w:bottom w:val="nil"/>
              <w:right w:val="nil"/>
            </w:tcBorders>
            <w:vAlign w:val="center"/>
            <w:hideMark/>
          </w:tcPr>
          <w:p w14:paraId="0A9FAEAE" w14:textId="77777777" w:rsidR="00FB7E5E" w:rsidRPr="00FB7E5E" w:rsidRDefault="00FB7E5E" w:rsidP="00D07F28">
            <w:pPr>
              <w:jc w:val="right"/>
              <w:rPr>
                <w:rFonts w:cstheme="minorHAnsi"/>
                <w:sz w:val="20"/>
                <w:szCs w:val="20"/>
              </w:rPr>
            </w:pPr>
            <w:r w:rsidRPr="00FB7E5E">
              <w:rPr>
                <w:rFonts w:cstheme="minorHAnsi"/>
                <w:sz w:val="20"/>
                <w:szCs w:val="20"/>
              </w:rPr>
              <w:t>917</w:t>
            </w:r>
          </w:p>
        </w:tc>
        <w:tc>
          <w:tcPr>
            <w:tcW w:w="1097" w:type="dxa"/>
            <w:tcBorders>
              <w:top w:val="nil"/>
              <w:left w:val="nil"/>
              <w:bottom w:val="nil"/>
              <w:right w:val="nil"/>
            </w:tcBorders>
            <w:vAlign w:val="center"/>
            <w:hideMark/>
          </w:tcPr>
          <w:p w14:paraId="2AFD1231" w14:textId="77777777" w:rsidR="00FB7E5E" w:rsidRPr="00FB7E5E" w:rsidRDefault="00FB7E5E" w:rsidP="00D07F28">
            <w:pPr>
              <w:jc w:val="right"/>
              <w:rPr>
                <w:rFonts w:cstheme="minorHAnsi"/>
                <w:sz w:val="20"/>
                <w:szCs w:val="20"/>
              </w:rPr>
            </w:pPr>
            <w:r w:rsidRPr="00FB7E5E">
              <w:rPr>
                <w:rFonts w:cstheme="minorHAnsi"/>
                <w:sz w:val="20"/>
                <w:szCs w:val="20"/>
              </w:rPr>
              <w:t>917</w:t>
            </w:r>
          </w:p>
        </w:tc>
        <w:tc>
          <w:tcPr>
            <w:tcW w:w="938" w:type="dxa"/>
            <w:tcBorders>
              <w:top w:val="nil"/>
              <w:left w:val="nil"/>
              <w:bottom w:val="nil"/>
              <w:right w:val="nil"/>
            </w:tcBorders>
            <w:vAlign w:val="center"/>
            <w:hideMark/>
          </w:tcPr>
          <w:p w14:paraId="49AFB87E" w14:textId="77777777" w:rsidR="00FB7E5E" w:rsidRPr="00FB7E5E" w:rsidRDefault="00FB7E5E" w:rsidP="00D07F28">
            <w:pPr>
              <w:jc w:val="right"/>
              <w:rPr>
                <w:rFonts w:cstheme="minorHAnsi"/>
                <w:sz w:val="20"/>
                <w:szCs w:val="20"/>
              </w:rPr>
            </w:pPr>
            <w:r w:rsidRPr="00FB7E5E">
              <w:rPr>
                <w:rFonts w:cstheme="minorHAnsi"/>
                <w:sz w:val="20"/>
                <w:szCs w:val="20"/>
              </w:rPr>
              <w:t>622</w:t>
            </w:r>
          </w:p>
        </w:tc>
        <w:tc>
          <w:tcPr>
            <w:tcW w:w="1143" w:type="dxa"/>
            <w:tcBorders>
              <w:top w:val="nil"/>
              <w:left w:val="nil"/>
              <w:bottom w:val="nil"/>
              <w:right w:val="nil"/>
            </w:tcBorders>
            <w:vAlign w:val="center"/>
            <w:hideMark/>
          </w:tcPr>
          <w:p w14:paraId="754599AE" w14:textId="77777777" w:rsidR="00FB7E5E" w:rsidRPr="00FB7E5E" w:rsidRDefault="00FB7E5E" w:rsidP="00D07F28">
            <w:pPr>
              <w:jc w:val="right"/>
              <w:rPr>
                <w:rFonts w:cstheme="minorHAnsi"/>
                <w:sz w:val="20"/>
                <w:szCs w:val="20"/>
              </w:rPr>
            </w:pPr>
            <w:r w:rsidRPr="00FB7E5E">
              <w:rPr>
                <w:rFonts w:cstheme="minorHAnsi"/>
                <w:sz w:val="20"/>
                <w:szCs w:val="20"/>
              </w:rPr>
              <w:t>295</w:t>
            </w:r>
          </w:p>
        </w:tc>
        <w:tc>
          <w:tcPr>
            <w:tcW w:w="1832" w:type="dxa"/>
            <w:tcBorders>
              <w:top w:val="nil"/>
              <w:left w:val="nil"/>
              <w:bottom w:val="nil"/>
              <w:right w:val="nil"/>
            </w:tcBorders>
            <w:vAlign w:val="center"/>
            <w:hideMark/>
          </w:tcPr>
          <w:p w14:paraId="0A25953C" w14:textId="77777777" w:rsidR="00FB7E5E" w:rsidRPr="00FB7E5E" w:rsidRDefault="00FB7E5E" w:rsidP="00D07F28">
            <w:pPr>
              <w:jc w:val="center"/>
              <w:rPr>
                <w:rFonts w:cstheme="minorHAnsi"/>
                <w:sz w:val="20"/>
                <w:szCs w:val="20"/>
              </w:rPr>
            </w:pPr>
            <w:r w:rsidRPr="00FB7E5E">
              <w:rPr>
                <w:rFonts w:cstheme="minorHAnsi"/>
                <w:sz w:val="20"/>
                <w:szCs w:val="20"/>
              </w:rPr>
              <w:t>N.A.</w:t>
            </w:r>
          </w:p>
        </w:tc>
      </w:tr>
      <w:tr w:rsidR="00FB7E5E" w:rsidRPr="00FB7E5E" w14:paraId="66DCBF95" w14:textId="77777777" w:rsidTr="00D07F28">
        <w:trPr>
          <w:trHeight w:val="20"/>
          <w:jc w:val="center"/>
        </w:trPr>
        <w:tc>
          <w:tcPr>
            <w:tcW w:w="3402" w:type="dxa"/>
            <w:tcBorders>
              <w:top w:val="nil"/>
              <w:left w:val="nil"/>
              <w:bottom w:val="nil"/>
              <w:right w:val="nil"/>
            </w:tcBorders>
            <w:hideMark/>
          </w:tcPr>
          <w:p w14:paraId="0D6B05F7" w14:textId="77777777" w:rsidR="00FB7E5E" w:rsidRPr="00FB7E5E" w:rsidRDefault="00FB7E5E" w:rsidP="00D07F28">
            <w:pPr>
              <w:jc w:val="both"/>
              <w:rPr>
                <w:rFonts w:cstheme="minorHAnsi"/>
                <w:sz w:val="20"/>
                <w:szCs w:val="20"/>
              </w:rPr>
            </w:pPr>
            <w:r w:rsidRPr="00FB7E5E">
              <w:rPr>
                <w:rFonts w:cstheme="minorHAnsi"/>
                <w:sz w:val="20"/>
                <w:szCs w:val="20"/>
              </w:rPr>
              <w:t>Sociedades agencia</w:t>
            </w:r>
          </w:p>
        </w:tc>
        <w:tc>
          <w:tcPr>
            <w:tcW w:w="722" w:type="dxa"/>
            <w:tcBorders>
              <w:top w:val="nil"/>
              <w:left w:val="nil"/>
              <w:bottom w:val="nil"/>
              <w:right w:val="nil"/>
            </w:tcBorders>
            <w:vAlign w:val="center"/>
            <w:hideMark/>
          </w:tcPr>
          <w:p w14:paraId="5DD08BA7" w14:textId="77777777" w:rsidR="00FB7E5E" w:rsidRPr="00FB7E5E" w:rsidRDefault="00FB7E5E" w:rsidP="00D07F28">
            <w:pPr>
              <w:jc w:val="right"/>
              <w:rPr>
                <w:rFonts w:cstheme="minorHAnsi"/>
                <w:sz w:val="20"/>
                <w:szCs w:val="20"/>
              </w:rPr>
            </w:pPr>
            <w:r w:rsidRPr="00FB7E5E">
              <w:rPr>
                <w:rFonts w:cstheme="minorHAnsi"/>
                <w:sz w:val="20"/>
                <w:szCs w:val="20"/>
              </w:rPr>
              <w:t>52</w:t>
            </w:r>
          </w:p>
        </w:tc>
        <w:tc>
          <w:tcPr>
            <w:tcW w:w="1097" w:type="dxa"/>
            <w:tcBorders>
              <w:top w:val="nil"/>
              <w:left w:val="nil"/>
              <w:bottom w:val="nil"/>
              <w:right w:val="nil"/>
            </w:tcBorders>
            <w:vAlign w:val="center"/>
            <w:hideMark/>
          </w:tcPr>
          <w:p w14:paraId="248A64FB" w14:textId="77777777" w:rsidR="00FB7E5E" w:rsidRPr="00FB7E5E" w:rsidRDefault="00FB7E5E" w:rsidP="00D07F28">
            <w:pPr>
              <w:jc w:val="right"/>
              <w:rPr>
                <w:rFonts w:cstheme="minorHAnsi"/>
                <w:sz w:val="20"/>
                <w:szCs w:val="20"/>
              </w:rPr>
            </w:pPr>
            <w:r w:rsidRPr="00FB7E5E">
              <w:rPr>
                <w:rFonts w:cstheme="minorHAnsi"/>
                <w:sz w:val="20"/>
                <w:szCs w:val="20"/>
              </w:rPr>
              <w:t>52</w:t>
            </w:r>
          </w:p>
        </w:tc>
        <w:tc>
          <w:tcPr>
            <w:tcW w:w="938" w:type="dxa"/>
            <w:tcBorders>
              <w:top w:val="nil"/>
              <w:left w:val="nil"/>
              <w:bottom w:val="nil"/>
              <w:right w:val="nil"/>
            </w:tcBorders>
            <w:vAlign w:val="center"/>
            <w:hideMark/>
          </w:tcPr>
          <w:p w14:paraId="6C50A675" w14:textId="77777777" w:rsidR="00FB7E5E" w:rsidRPr="00FB7E5E" w:rsidRDefault="00FB7E5E" w:rsidP="00D07F28">
            <w:pPr>
              <w:jc w:val="right"/>
              <w:rPr>
                <w:rFonts w:cstheme="minorHAnsi"/>
                <w:sz w:val="20"/>
                <w:szCs w:val="20"/>
              </w:rPr>
            </w:pPr>
            <w:r w:rsidRPr="00FB7E5E">
              <w:rPr>
                <w:rFonts w:cstheme="minorHAnsi"/>
                <w:sz w:val="20"/>
                <w:szCs w:val="20"/>
              </w:rPr>
              <w:t>21</w:t>
            </w:r>
          </w:p>
        </w:tc>
        <w:tc>
          <w:tcPr>
            <w:tcW w:w="1143" w:type="dxa"/>
            <w:tcBorders>
              <w:top w:val="nil"/>
              <w:left w:val="nil"/>
              <w:bottom w:val="nil"/>
              <w:right w:val="nil"/>
            </w:tcBorders>
            <w:vAlign w:val="center"/>
            <w:hideMark/>
          </w:tcPr>
          <w:p w14:paraId="6D0EB5F6" w14:textId="77777777" w:rsidR="00FB7E5E" w:rsidRPr="00FB7E5E" w:rsidRDefault="00FB7E5E" w:rsidP="00D07F28">
            <w:pPr>
              <w:jc w:val="right"/>
              <w:rPr>
                <w:rFonts w:cstheme="minorHAnsi"/>
                <w:sz w:val="20"/>
                <w:szCs w:val="20"/>
              </w:rPr>
            </w:pPr>
            <w:r w:rsidRPr="00FB7E5E">
              <w:rPr>
                <w:rFonts w:cstheme="minorHAnsi"/>
                <w:sz w:val="20"/>
                <w:szCs w:val="20"/>
              </w:rPr>
              <w:t>29</w:t>
            </w:r>
          </w:p>
        </w:tc>
        <w:tc>
          <w:tcPr>
            <w:tcW w:w="1832" w:type="dxa"/>
            <w:tcBorders>
              <w:top w:val="nil"/>
              <w:left w:val="nil"/>
              <w:bottom w:val="nil"/>
              <w:right w:val="nil"/>
            </w:tcBorders>
            <w:vAlign w:val="center"/>
            <w:hideMark/>
          </w:tcPr>
          <w:p w14:paraId="68678817" w14:textId="77777777" w:rsidR="00FB7E5E" w:rsidRPr="00FB7E5E" w:rsidRDefault="00FB7E5E" w:rsidP="00D07F28">
            <w:pPr>
              <w:jc w:val="center"/>
              <w:rPr>
                <w:rFonts w:cstheme="minorHAnsi"/>
                <w:sz w:val="20"/>
                <w:szCs w:val="20"/>
              </w:rPr>
            </w:pPr>
            <w:r w:rsidRPr="00FB7E5E">
              <w:rPr>
                <w:rFonts w:cstheme="minorHAnsi"/>
                <w:sz w:val="20"/>
                <w:szCs w:val="20"/>
              </w:rPr>
              <w:t>1</w:t>
            </w:r>
          </w:p>
        </w:tc>
      </w:tr>
      <w:tr w:rsidR="00FB7E5E" w:rsidRPr="00FB7E5E" w14:paraId="11F50FD2" w14:textId="77777777" w:rsidTr="00D07F28">
        <w:trPr>
          <w:trHeight w:val="20"/>
          <w:jc w:val="center"/>
        </w:trPr>
        <w:tc>
          <w:tcPr>
            <w:tcW w:w="3402" w:type="dxa"/>
            <w:tcBorders>
              <w:top w:val="nil"/>
              <w:left w:val="nil"/>
              <w:bottom w:val="nil"/>
              <w:right w:val="nil"/>
            </w:tcBorders>
            <w:hideMark/>
          </w:tcPr>
          <w:p w14:paraId="3DAEA02E" w14:textId="77777777" w:rsidR="00FB7E5E" w:rsidRPr="00FB7E5E" w:rsidRDefault="00FB7E5E" w:rsidP="00D07F28">
            <w:pPr>
              <w:jc w:val="both"/>
              <w:rPr>
                <w:rFonts w:cstheme="minorHAnsi"/>
                <w:sz w:val="20"/>
                <w:szCs w:val="20"/>
              </w:rPr>
            </w:pPr>
            <w:r w:rsidRPr="00FB7E5E">
              <w:rPr>
                <w:rFonts w:cstheme="minorHAnsi"/>
                <w:sz w:val="20"/>
                <w:szCs w:val="20"/>
              </w:rPr>
              <w:t>Agentes de seguros</w:t>
            </w:r>
          </w:p>
        </w:tc>
        <w:tc>
          <w:tcPr>
            <w:tcW w:w="722" w:type="dxa"/>
            <w:tcBorders>
              <w:top w:val="nil"/>
              <w:left w:val="nil"/>
              <w:bottom w:val="nil"/>
              <w:right w:val="nil"/>
            </w:tcBorders>
            <w:vAlign w:val="center"/>
            <w:hideMark/>
          </w:tcPr>
          <w:p w14:paraId="6F43D183" w14:textId="77777777" w:rsidR="00FB7E5E" w:rsidRPr="00FB7E5E" w:rsidRDefault="00FB7E5E" w:rsidP="00D07F28">
            <w:pPr>
              <w:jc w:val="right"/>
              <w:rPr>
                <w:rFonts w:cstheme="minorHAnsi"/>
                <w:sz w:val="20"/>
                <w:szCs w:val="20"/>
              </w:rPr>
            </w:pPr>
            <w:r w:rsidRPr="00FB7E5E">
              <w:rPr>
                <w:rFonts w:cstheme="minorHAnsi"/>
                <w:sz w:val="20"/>
                <w:szCs w:val="20"/>
              </w:rPr>
              <w:t>2 840</w:t>
            </w:r>
          </w:p>
        </w:tc>
        <w:tc>
          <w:tcPr>
            <w:tcW w:w="1097" w:type="dxa"/>
            <w:tcBorders>
              <w:top w:val="nil"/>
              <w:left w:val="nil"/>
              <w:bottom w:val="nil"/>
              <w:right w:val="nil"/>
            </w:tcBorders>
            <w:vAlign w:val="center"/>
            <w:hideMark/>
          </w:tcPr>
          <w:p w14:paraId="17C96F66" w14:textId="77777777" w:rsidR="00FB7E5E" w:rsidRPr="00FB7E5E" w:rsidRDefault="00FB7E5E" w:rsidP="00D07F28">
            <w:pPr>
              <w:jc w:val="right"/>
              <w:rPr>
                <w:rFonts w:cstheme="minorHAnsi"/>
                <w:sz w:val="20"/>
                <w:szCs w:val="20"/>
              </w:rPr>
            </w:pPr>
            <w:r w:rsidRPr="00FB7E5E">
              <w:rPr>
                <w:rFonts w:cstheme="minorHAnsi"/>
                <w:sz w:val="20"/>
                <w:szCs w:val="20"/>
              </w:rPr>
              <w:t>2 840</w:t>
            </w:r>
          </w:p>
        </w:tc>
        <w:tc>
          <w:tcPr>
            <w:tcW w:w="938" w:type="dxa"/>
            <w:tcBorders>
              <w:top w:val="nil"/>
              <w:left w:val="nil"/>
              <w:bottom w:val="nil"/>
              <w:right w:val="nil"/>
            </w:tcBorders>
            <w:vAlign w:val="center"/>
            <w:hideMark/>
          </w:tcPr>
          <w:p w14:paraId="25C3699B" w14:textId="77777777" w:rsidR="00FB7E5E" w:rsidRPr="00FB7E5E" w:rsidRDefault="00FB7E5E" w:rsidP="00D07F28">
            <w:pPr>
              <w:jc w:val="right"/>
              <w:rPr>
                <w:rFonts w:cstheme="minorHAnsi"/>
                <w:sz w:val="20"/>
                <w:szCs w:val="20"/>
              </w:rPr>
            </w:pPr>
            <w:r w:rsidRPr="00FB7E5E">
              <w:rPr>
                <w:rFonts w:cstheme="minorHAnsi"/>
                <w:sz w:val="20"/>
                <w:szCs w:val="20"/>
              </w:rPr>
              <w:t>1 100</w:t>
            </w:r>
          </w:p>
        </w:tc>
        <w:tc>
          <w:tcPr>
            <w:tcW w:w="1143" w:type="dxa"/>
            <w:tcBorders>
              <w:top w:val="nil"/>
              <w:left w:val="nil"/>
              <w:bottom w:val="nil"/>
              <w:right w:val="nil"/>
            </w:tcBorders>
            <w:vAlign w:val="center"/>
            <w:hideMark/>
          </w:tcPr>
          <w:p w14:paraId="54B73912" w14:textId="77777777" w:rsidR="00FB7E5E" w:rsidRPr="00FB7E5E" w:rsidRDefault="00FB7E5E" w:rsidP="00D07F28">
            <w:pPr>
              <w:jc w:val="right"/>
              <w:rPr>
                <w:rFonts w:cstheme="minorHAnsi"/>
                <w:sz w:val="20"/>
                <w:szCs w:val="20"/>
              </w:rPr>
            </w:pPr>
            <w:r w:rsidRPr="00FB7E5E">
              <w:rPr>
                <w:rFonts w:cstheme="minorHAnsi"/>
                <w:sz w:val="20"/>
                <w:szCs w:val="20"/>
              </w:rPr>
              <w:t>1 738</w:t>
            </w:r>
          </w:p>
        </w:tc>
        <w:tc>
          <w:tcPr>
            <w:tcW w:w="1832" w:type="dxa"/>
            <w:tcBorders>
              <w:top w:val="nil"/>
              <w:left w:val="nil"/>
              <w:bottom w:val="nil"/>
              <w:right w:val="nil"/>
            </w:tcBorders>
            <w:vAlign w:val="center"/>
            <w:hideMark/>
          </w:tcPr>
          <w:p w14:paraId="1415589C" w14:textId="77777777" w:rsidR="00FB7E5E" w:rsidRPr="00FB7E5E" w:rsidRDefault="00FB7E5E" w:rsidP="00D07F28">
            <w:pPr>
              <w:jc w:val="center"/>
              <w:rPr>
                <w:rFonts w:cstheme="minorHAnsi"/>
                <w:sz w:val="20"/>
                <w:szCs w:val="20"/>
              </w:rPr>
            </w:pPr>
            <w:r w:rsidRPr="00FB7E5E">
              <w:rPr>
                <w:rFonts w:cstheme="minorHAnsi"/>
                <w:sz w:val="20"/>
                <w:szCs w:val="20"/>
              </w:rPr>
              <w:t>N.A.</w:t>
            </w:r>
          </w:p>
        </w:tc>
      </w:tr>
      <w:tr w:rsidR="00FB7E5E" w:rsidRPr="00FB7E5E" w14:paraId="7165EEC7" w14:textId="77777777" w:rsidTr="00D07F28">
        <w:trPr>
          <w:trHeight w:val="20"/>
          <w:jc w:val="center"/>
        </w:trPr>
        <w:tc>
          <w:tcPr>
            <w:tcW w:w="3402" w:type="dxa"/>
            <w:tcBorders>
              <w:top w:val="nil"/>
              <w:left w:val="nil"/>
              <w:bottom w:val="single" w:sz="4" w:space="0" w:color="auto"/>
              <w:right w:val="nil"/>
            </w:tcBorders>
            <w:hideMark/>
          </w:tcPr>
          <w:p w14:paraId="016CB925" w14:textId="77777777" w:rsidR="00FB7E5E" w:rsidRPr="00FB7E5E" w:rsidRDefault="00FB7E5E" w:rsidP="00D07F28">
            <w:pPr>
              <w:jc w:val="both"/>
              <w:rPr>
                <w:rFonts w:cstheme="minorHAnsi"/>
                <w:sz w:val="20"/>
                <w:szCs w:val="20"/>
              </w:rPr>
            </w:pPr>
            <w:r w:rsidRPr="00FB7E5E">
              <w:rPr>
                <w:rFonts w:cstheme="minorHAnsi"/>
                <w:sz w:val="20"/>
                <w:szCs w:val="20"/>
              </w:rPr>
              <w:t>Operadores de seguros autoexpedibles</w:t>
            </w:r>
          </w:p>
        </w:tc>
        <w:tc>
          <w:tcPr>
            <w:tcW w:w="722" w:type="dxa"/>
            <w:tcBorders>
              <w:top w:val="nil"/>
              <w:left w:val="nil"/>
              <w:bottom w:val="single" w:sz="4" w:space="0" w:color="auto"/>
              <w:right w:val="nil"/>
            </w:tcBorders>
            <w:vAlign w:val="center"/>
            <w:hideMark/>
          </w:tcPr>
          <w:p w14:paraId="4307695A" w14:textId="77777777" w:rsidR="00FB7E5E" w:rsidRPr="00FB7E5E" w:rsidRDefault="00FB7E5E" w:rsidP="00D07F28">
            <w:pPr>
              <w:jc w:val="right"/>
              <w:rPr>
                <w:rFonts w:cstheme="minorHAnsi"/>
                <w:sz w:val="20"/>
                <w:szCs w:val="20"/>
              </w:rPr>
            </w:pPr>
            <w:r w:rsidRPr="00FB7E5E">
              <w:rPr>
                <w:rFonts w:cstheme="minorHAnsi"/>
                <w:sz w:val="20"/>
                <w:szCs w:val="20"/>
              </w:rPr>
              <w:t>131</w:t>
            </w:r>
          </w:p>
        </w:tc>
        <w:tc>
          <w:tcPr>
            <w:tcW w:w="1097" w:type="dxa"/>
            <w:tcBorders>
              <w:top w:val="nil"/>
              <w:left w:val="nil"/>
              <w:bottom w:val="single" w:sz="4" w:space="0" w:color="auto"/>
              <w:right w:val="nil"/>
            </w:tcBorders>
            <w:vAlign w:val="center"/>
            <w:hideMark/>
          </w:tcPr>
          <w:p w14:paraId="0E618248" w14:textId="77777777" w:rsidR="00FB7E5E" w:rsidRPr="00FB7E5E" w:rsidRDefault="00FB7E5E" w:rsidP="00D07F28">
            <w:pPr>
              <w:jc w:val="right"/>
              <w:rPr>
                <w:rFonts w:cstheme="minorHAnsi"/>
                <w:sz w:val="20"/>
                <w:szCs w:val="20"/>
              </w:rPr>
            </w:pPr>
            <w:r w:rsidRPr="00FB7E5E">
              <w:rPr>
                <w:rFonts w:cstheme="minorHAnsi"/>
                <w:sz w:val="20"/>
                <w:szCs w:val="20"/>
              </w:rPr>
              <w:t>131</w:t>
            </w:r>
          </w:p>
        </w:tc>
        <w:tc>
          <w:tcPr>
            <w:tcW w:w="938" w:type="dxa"/>
            <w:tcBorders>
              <w:top w:val="nil"/>
              <w:left w:val="nil"/>
              <w:bottom w:val="single" w:sz="4" w:space="0" w:color="auto"/>
              <w:right w:val="nil"/>
            </w:tcBorders>
            <w:vAlign w:val="center"/>
            <w:hideMark/>
          </w:tcPr>
          <w:p w14:paraId="4DCFC844" w14:textId="77777777" w:rsidR="00FB7E5E" w:rsidRPr="00FB7E5E" w:rsidRDefault="00FB7E5E" w:rsidP="00D07F28">
            <w:pPr>
              <w:jc w:val="right"/>
              <w:rPr>
                <w:rFonts w:cstheme="minorHAnsi"/>
                <w:sz w:val="20"/>
                <w:szCs w:val="20"/>
              </w:rPr>
            </w:pPr>
            <w:r w:rsidRPr="00FB7E5E">
              <w:rPr>
                <w:rFonts w:cstheme="minorHAnsi"/>
                <w:sz w:val="20"/>
                <w:szCs w:val="20"/>
              </w:rPr>
              <w:t>91</w:t>
            </w:r>
          </w:p>
        </w:tc>
        <w:tc>
          <w:tcPr>
            <w:tcW w:w="1143" w:type="dxa"/>
            <w:tcBorders>
              <w:top w:val="nil"/>
              <w:left w:val="nil"/>
              <w:bottom w:val="single" w:sz="4" w:space="0" w:color="auto"/>
              <w:right w:val="nil"/>
            </w:tcBorders>
            <w:vAlign w:val="center"/>
            <w:hideMark/>
          </w:tcPr>
          <w:p w14:paraId="3742B6D0" w14:textId="77777777" w:rsidR="00FB7E5E" w:rsidRPr="00FB7E5E" w:rsidRDefault="00FB7E5E" w:rsidP="00D07F28">
            <w:pPr>
              <w:jc w:val="right"/>
              <w:rPr>
                <w:rFonts w:cstheme="minorHAnsi"/>
                <w:sz w:val="20"/>
                <w:szCs w:val="20"/>
              </w:rPr>
            </w:pPr>
            <w:r w:rsidRPr="00FB7E5E">
              <w:rPr>
                <w:rFonts w:cstheme="minorHAnsi"/>
                <w:sz w:val="20"/>
                <w:szCs w:val="20"/>
              </w:rPr>
              <w:t>40</w:t>
            </w:r>
          </w:p>
        </w:tc>
        <w:tc>
          <w:tcPr>
            <w:tcW w:w="1832" w:type="dxa"/>
            <w:tcBorders>
              <w:top w:val="nil"/>
              <w:left w:val="nil"/>
              <w:bottom w:val="single" w:sz="4" w:space="0" w:color="auto"/>
              <w:right w:val="nil"/>
            </w:tcBorders>
            <w:vAlign w:val="center"/>
            <w:hideMark/>
          </w:tcPr>
          <w:p w14:paraId="156C28CD" w14:textId="77777777" w:rsidR="00FB7E5E" w:rsidRPr="00FB7E5E" w:rsidRDefault="00FB7E5E" w:rsidP="00D07F28">
            <w:pPr>
              <w:jc w:val="center"/>
              <w:rPr>
                <w:rFonts w:cstheme="minorHAnsi"/>
                <w:sz w:val="20"/>
                <w:szCs w:val="20"/>
              </w:rPr>
            </w:pPr>
            <w:r w:rsidRPr="00FB7E5E">
              <w:rPr>
                <w:rFonts w:cstheme="minorHAnsi"/>
                <w:sz w:val="20"/>
                <w:szCs w:val="20"/>
              </w:rPr>
              <w:t>N.A.</w:t>
            </w:r>
          </w:p>
        </w:tc>
      </w:tr>
    </w:tbl>
    <w:p w14:paraId="6E862BDF" w14:textId="77777777" w:rsidR="00FB7E5E" w:rsidRPr="00BA5001" w:rsidRDefault="00FB7E5E" w:rsidP="00FB7E5E">
      <w:pPr>
        <w:tabs>
          <w:tab w:val="left" w:pos="8789"/>
        </w:tabs>
        <w:spacing w:after="0" w:line="240" w:lineRule="auto"/>
        <w:ind w:right="49"/>
        <w:jc w:val="both"/>
        <w:rPr>
          <w:rFonts w:cstheme="minorHAnsi"/>
          <w:sz w:val="18"/>
          <w:szCs w:val="18"/>
        </w:rPr>
      </w:pPr>
      <w:r w:rsidRPr="00BA5001">
        <w:rPr>
          <w:rFonts w:cstheme="minorHAnsi"/>
          <w:sz w:val="18"/>
          <w:szCs w:val="18"/>
        </w:rPr>
        <w:t>1/Autorizados Condicionalmente: Participantes que han sido autorizados, pero cuya entrada en operación está sujeta al cumplimiento de los requisitos dispuestos en los artículos 12 (requisitos previos) y 14 (inscripción) del Reglamento sobre Autorizaciones, Registros y Requisitos de Funcionamiento de Entidades Supervisadas por la Superintendencia General de Seguros. Una vez cumplido lo anterior, la entidad se inscribe en el registro correspondiente y puede operar en el mercado.</w:t>
      </w:r>
    </w:p>
    <w:p w14:paraId="2C4DF34A" w14:textId="77777777" w:rsidR="00FB7E5E" w:rsidRPr="00BA5001" w:rsidRDefault="00FB7E5E" w:rsidP="00FB7E5E">
      <w:pPr>
        <w:tabs>
          <w:tab w:val="left" w:pos="8789"/>
        </w:tabs>
        <w:spacing w:after="0" w:line="240" w:lineRule="auto"/>
        <w:ind w:right="49"/>
        <w:jc w:val="both"/>
        <w:rPr>
          <w:rFonts w:cstheme="minorHAnsi"/>
          <w:sz w:val="18"/>
          <w:szCs w:val="18"/>
        </w:rPr>
      </w:pPr>
      <w:r w:rsidRPr="00BA5001">
        <w:rPr>
          <w:rFonts w:cstheme="minorHAnsi"/>
          <w:sz w:val="18"/>
          <w:szCs w:val="18"/>
        </w:rPr>
        <w:t>2/ Corresponde al cese de actividades de la sucursal en Costa Rica de Triple S Inc.</w:t>
      </w:r>
    </w:p>
    <w:p w14:paraId="457B194D" w14:textId="77777777" w:rsidR="00FB7E5E" w:rsidRPr="00BA5001" w:rsidRDefault="00FB7E5E" w:rsidP="00FB7E5E">
      <w:pPr>
        <w:tabs>
          <w:tab w:val="left" w:pos="8789"/>
        </w:tabs>
        <w:spacing w:after="0" w:line="240" w:lineRule="auto"/>
        <w:ind w:right="49"/>
        <w:jc w:val="both"/>
        <w:rPr>
          <w:rFonts w:cstheme="minorHAnsi"/>
          <w:sz w:val="18"/>
          <w:szCs w:val="18"/>
        </w:rPr>
      </w:pPr>
      <w:r w:rsidRPr="00BA5001">
        <w:rPr>
          <w:rFonts w:cstheme="minorHAnsi"/>
          <w:sz w:val="18"/>
          <w:szCs w:val="18"/>
        </w:rPr>
        <w:t>3/ Corresponde al proceso de transformación de Lafise Seguros S.A. en aseguradora mixta.</w:t>
      </w:r>
    </w:p>
    <w:p w14:paraId="467B18FE" w14:textId="77777777" w:rsidR="00FB7E5E" w:rsidRPr="00FB7E5E" w:rsidRDefault="00FB7E5E" w:rsidP="00FB7E5E">
      <w:pPr>
        <w:pStyle w:val="Prrafodelista"/>
        <w:spacing w:after="0" w:line="240" w:lineRule="auto"/>
        <w:jc w:val="both"/>
        <w:rPr>
          <w:rFonts w:eastAsia="Calibri" w:cstheme="minorHAnsi"/>
          <w:b/>
          <w:sz w:val="24"/>
          <w:highlight w:val="yellow"/>
        </w:rPr>
      </w:pPr>
    </w:p>
    <w:p w14:paraId="7B7A9838" w14:textId="6EDC73F4" w:rsidR="00FB7E5E" w:rsidRPr="005E35CD" w:rsidRDefault="00FB7E5E" w:rsidP="00FB7E5E">
      <w:pPr>
        <w:spacing w:after="0" w:line="240" w:lineRule="auto"/>
        <w:jc w:val="both"/>
        <w:rPr>
          <w:rFonts w:cstheme="minorHAnsi"/>
        </w:rPr>
      </w:pPr>
      <w:r w:rsidRPr="005E35CD">
        <w:rPr>
          <w:rFonts w:cstheme="minorHAnsi"/>
        </w:rPr>
        <w:t>En lo que respecta al registro de productos de seguros, el 2022 concluyó con una reducción en la cantidad de productos vigentes pasando de 850 en el 2021 a 840. Para este periodo se observaron, de forma neta, 13 productos menos en la categoría de seguros personales, mientras que en la categoría de seguros generales aumentó en 3 pólizas, tal como se muestra en el gráfico 2</w:t>
      </w:r>
      <w:r w:rsidR="00BA5001">
        <w:rPr>
          <w:rFonts w:cstheme="minorHAnsi"/>
        </w:rPr>
        <w:t>3</w:t>
      </w:r>
      <w:r w:rsidRPr="005E35CD">
        <w:rPr>
          <w:rFonts w:cstheme="minorHAnsi"/>
        </w:rPr>
        <w:t xml:space="preserve">. </w:t>
      </w:r>
    </w:p>
    <w:p w14:paraId="292E9548" w14:textId="77777777" w:rsidR="00FB7E5E" w:rsidRPr="005E35CD" w:rsidRDefault="00FB7E5E" w:rsidP="00FB7E5E">
      <w:pPr>
        <w:spacing w:after="0" w:line="240" w:lineRule="auto"/>
        <w:jc w:val="both"/>
        <w:rPr>
          <w:rFonts w:cstheme="minorHAnsi"/>
          <w:bCs/>
        </w:rPr>
      </w:pPr>
    </w:p>
    <w:p w14:paraId="7B21A539" w14:textId="7B1AEFAF" w:rsidR="00FB7E5E" w:rsidRPr="005E35CD" w:rsidRDefault="00FB7E5E" w:rsidP="00FB7E5E">
      <w:pPr>
        <w:spacing w:after="0" w:line="240" w:lineRule="auto"/>
        <w:jc w:val="both"/>
        <w:rPr>
          <w:rFonts w:cstheme="minorHAnsi"/>
        </w:rPr>
      </w:pPr>
      <w:r w:rsidRPr="005E35CD">
        <w:rPr>
          <w:rFonts w:cstheme="minorHAnsi"/>
        </w:rPr>
        <w:t>En total se registraron 89 productos nuevos, de los cuales 40 corresponden a productos autoexpedibles. El elevado número de registros de productos autoexpedibles, según se indicó, obedeció a la entrada en vigor del Reglamento sobre Inclusión y Acceso al Seguro, en septiembre</w:t>
      </w:r>
      <w:r w:rsidRPr="00FB7E5E">
        <w:rPr>
          <w:rFonts w:cstheme="minorHAnsi"/>
          <w:sz w:val="24"/>
          <w:szCs w:val="24"/>
        </w:rPr>
        <w:t xml:space="preserve"> </w:t>
      </w:r>
      <w:r w:rsidRPr="005E35CD">
        <w:rPr>
          <w:rFonts w:cstheme="minorHAnsi"/>
        </w:rPr>
        <w:t>de 2020, cuyo Transitorio I dispuso que</w:t>
      </w:r>
      <w:r w:rsidR="009F2ED9">
        <w:rPr>
          <w:rFonts w:cstheme="minorHAnsi"/>
        </w:rPr>
        <w:t>,</w:t>
      </w:r>
      <w:r w:rsidRPr="005E35CD">
        <w:rPr>
          <w:rFonts w:cstheme="minorHAnsi"/>
        </w:rPr>
        <w:t xml:space="preserve"> a más tardar el 31 de enero del 2022</w:t>
      </w:r>
      <w:r w:rsidR="009F2ED9">
        <w:rPr>
          <w:rFonts w:cstheme="minorHAnsi"/>
        </w:rPr>
        <w:t>,</w:t>
      </w:r>
      <w:r w:rsidRPr="005E35CD">
        <w:rPr>
          <w:rFonts w:cstheme="minorHAnsi"/>
        </w:rPr>
        <w:t xml:space="preserve"> las entidades debían dejar de comercializar los productos autoexpedibles registrados de previo a la entrada en vigor de esa norma.  Lo anterior significó que</w:t>
      </w:r>
      <w:r w:rsidR="009F2ED9">
        <w:rPr>
          <w:rFonts w:cstheme="minorHAnsi"/>
        </w:rPr>
        <w:t>,</w:t>
      </w:r>
      <w:r w:rsidRPr="005E35CD">
        <w:rPr>
          <w:rFonts w:cstheme="minorHAnsi"/>
        </w:rPr>
        <w:t xml:space="preserve"> durante 2021 y el primer mes de 2022</w:t>
      </w:r>
      <w:r w:rsidR="009F2ED9">
        <w:rPr>
          <w:rFonts w:cstheme="minorHAnsi"/>
        </w:rPr>
        <w:t>,</w:t>
      </w:r>
      <w:r w:rsidRPr="005E35CD">
        <w:rPr>
          <w:rFonts w:cstheme="minorHAnsi"/>
        </w:rPr>
        <w:t xml:space="preserve"> las entidades registraran una cantidad importante de este tipo de productos. Por otro lado, se des inscribieron 99 productos, de los cuales 55 correspondían a </w:t>
      </w:r>
      <w:r w:rsidRPr="005E35CD">
        <w:rPr>
          <w:rFonts w:cstheme="minorHAnsi"/>
        </w:rPr>
        <w:lastRenderedPageBreak/>
        <w:t xml:space="preserve">productos autoexpedibles, también de acuerdo con lo establecido en el Transitorio I del Reglamento mencionado. Además, se des inscribieron 35 productos de la aseguradora Triple-S en abril del 2022, cuando dejó de comercializar seguros. </w:t>
      </w:r>
    </w:p>
    <w:p w14:paraId="54CC7324" w14:textId="77777777" w:rsidR="00FB7E5E" w:rsidRPr="005E35CD" w:rsidRDefault="00FB7E5E" w:rsidP="00FB7E5E">
      <w:pPr>
        <w:spacing w:after="0" w:line="240" w:lineRule="auto"/>
        <w:jc w:val="both"/>
        <w:rPr>
          <w:rFonts w:cstheme="minorHAnsi"/>
          <w:bCs/>
          <w:highlight w:val="yellow"/>
        </w:rPr>
      </w:pPr>
    </w:p>
    <w:p w14:paraId="426A1A99" w14:textId="77777777" w:rsidR="00FB7E5E" w:rsidRPr="005E35CD" w:rsidRDefault="00FB7E5E" w:rsidP="00FB7E5E">
      <w:pPr>
        <w:spacing w:after="0" w:line="240" w:lineRule="auto"/>
        <w:jc w:val="both"/>
        <w:rPr>
          <w:rFonts w:cstheme="minorHAnsi"/>
          <w:color w:val="FF0000"/>
        </w:rPr>
      </w:pPr>
      <w:r w:rsidRPr="005E35CD">
        <w:rPr>
          <w:rFonts w:cstheme="minorHAnsi"/>
        </w:rPr>
        <w:t xml:space="preserve">De los 840 productos que se tenían registrados al cierre del 2022, 433 correspondían a la categoría de seguros generales y 407 a la de seguros personales. Cabe señalar que, de los productos registrados durante el 2022, el 91% pertenecen a entidades de seguros privadas, que han pasado de representar el 9% de los productos registrados en 2009, a un 75% en el 2022. </w:t>
      </w:r>
    </w:p>
    <w:p w14:paraId="7B8B3658" w14:textId="77777777" w:rsidR="00FB7E5E" w:rsidRPr="005E35CD" w:rsidRDefault="00FB7E5E" w:rsidP="00FB7E5E">
      <w:pPr>
        <w:spacing w:after="0"/>
        <w:rPr>
          <w:rFonts w:cstheme="minorHAnsi"/>
          <w:b/>
        </w:rPr>
      </w:pPr>
    </w:p>
    <w:p w14:paraId="26B0DB36" w14:textId="53A1F0D4" w:rsidR="00FB7E5E" w:rsidRPr="00FB7E5E" w:rsidRDefault="00FB7E5E" w:rsidP="00FB7E5E">
      <w:pPr>
        <w:spacing w:after="0"/>
        <w:rPr>
          <w:rFonts w:cstheme="minorHAnsi"/>
          <w:b/>
          <w:bCs/>
          <w:sz w:val="24"/>
          <w:szCs w:val="24"/>
        </w:rPr>
      </w:pPr>
      <w:r w:rsidRPr="00FB7E5E">
        <w:rPr>
          <w:rFonts w:cstheme="minorHAnsi"/>
          <w:b/>
          <w:bCs/>
          <w:sz w:val="24"/>
          <w:szCs w:val="24"/>
        </w:rPr>
        <w:t>Gráfico 2</w:t>
      </w:r>
      <w:r w:rsidR="007B420A">
        <w:rPr>
          <w:rFonts w:cstheme="minorHAnsi"/>
          <w:b/>
          <w:bCs/>
          <w:sz w:val="24"/>
          <w:szCs w:val="24"/>
        </w:rPr>
        <w:t>3</w:t>
      </w:r>
    </w:p>
    <w:p w14:paraId="69D6693A" w14:textId="77777777" w:rsidR="00FB7E5E" w:rsidRPr="00FB7E5E" w:rsidRDefault="00FB7E5E" w:rsidP="00FB7E5E">
      <w:pPr>
        <w:spacing w:after="0" w:line="240" w:lineRule="auto"/>
        <w:rPr>
          <w:rFonts w:cstheme="minorHAnsi"/>
          <w:b/>
          <w:bCs/>
          <w:sz w:val="24"/>
          <w:szCs w:val="24"/>
        </w:rPr>
      </w:pPr>
      <w:r w:rsidRPr="00FB7E5E">
        <w:rPr>
          <w:rFonts w:cstheme="minorHAnsi"/>
          <w:b/>
          <w:bCs/>
          <w:sz w:val="24"/>
          <w:szCs w:val="24"/>
        </w:rPr>
        <w:t>Cantidad pólizas de seguros por categoría, 2009 -2022</w:t>
      </w:r>
    </w:p>
    <w:p w14:paraId="618FC244" w14:textId="77777777" w:rsidR="00FB7E5E" w:rsidRPr="00FB7E5E" w:rsidRDefault="00FB7E5E" w:rsidP="00FB7E5E">
      <w:pPr>
        <w:spacing w:after="0" w:line="240" w:lineRule="auto"/>
        <w:jc w:val="center"/>
        <w:rPr>
          <w:rFonts w:cstheme="minorHAnsi"/>
          <w:b/>
          <w:sz w:val="24"/>
          <w:szCs w:val="24"/>
        </w:rPr>
      </w:pPr>
      <w:r w:rsidRPr="00FB7B95">
        <w:rPr>
          <w:rFonts w:cstheme="minorHAnsi"/>
          <w:noProof/>
          <w:shd w:val="clear" w:color="auto" w:fill="70AD47" w:themeFill="accent6"/>
        </w:rPr>
        <w:drawing>
          <wp:inline distT="0" distB="0" distL="0" distR="0" wp14:anchorId="38BEF542" wp14:editId="6C54617A">
            <wp:extent cx="6170440" cy="2922607"/>
            <wp:effectExtent l="0" t="0" r="1905" b="0"/>
            <wp:docPr id="20" name="Gráfico 20">
              <a:extLst xmlns:a="http://schemas.openxmlformats.org/drawingml/2006/main">
                <a:ext uri="{FF2B5EF4-FFF2-40B4-BE49-F238E27FC236}">
                  <a16:creationId xmlns:a16="http://schemas.microsoft.com/office/drawing/2014/main" id="{B336B214-E70D-48D4-BE7B-82B8DAC03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855B9A" w14:textId="77777777" w:rsidR="00FB09F4" w:rsidRPr="00FB7E5E" w:rsidRDefault="00FB09F4" w:rsidP="00FB09F4">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117A4C88" w14:textId="77777777" w:rsidR="00FB09F4" w:rsidRDefault="00FB09F4" w:rsidP="00FB7E5E">
      <w:pPr>
        <w:spacing w:after="0" w:line="240" w:lineRule="auto"/>
        <w:jc w:val="both"/>
        <w:rPr>
          <w:rFonts w:cstheme="minorHAnsi"/>
        </w:rPr>
      </w:pPr>
    </w:p>
    <w:p w14:paraId="15D6C514" w14:textId="77777777" w:rsidR="00FB09F4" w:rsidRDefault="00FB09F4" w:rsidP="00FB7E5E">
      <w:pPr>
        <w:spacing w:after="0" w:line="240" w:lineRule="auto"/>
        <w:jc w:val="both"/>
        <w:rPr>
          <w:rFonts w:cstheme="minorHAnsi"/>
        </w:rPr>
      </w:pPr>
    </w:p>
    <w:p w14:paraId="37F7C853" w14:textId="1BD6ADD0" w:rsidR="00FB7E5E" w:rsidRPr="0010556A" w:rsidRDefault="00FB7E5E" w:rsidP="00FB7E5E">
      <w:pPr>
        <w:spacing w:after="0" w:line="240" w:lineRule="auto"/>
        <w:jc w:val="both"/>
        <w:rPr>
          <w:rFonts w:cstheme="minorHAnsi"/>
        </w:rPr>
      </w:pPr>
      <w:r w:rsidRPr="0010556A">
        <w:rPr>
          <w:rFonts w:cstheme="minorHAnsi"/>
        </w:rPr>
        <w:t>Al cierre del periodo 2022, los seguros personales ofrecidos representaron el 49% del total de productos registrados, proporción similar a la observada en el 2021. El resto corresponde a la categoría de seguros generales, dentro de los cuales destacaron los ramos de otros daños a los bienes, incendio y líneas aliadas y responsabilidad civil (gráfico 2</w:t>
      </w:r>
      <w:r w:rsidR="005E35CD">
        <w:rPr>
          <w:rFonts w:cstheme="minorHAnsi"/>
        </w:rPr>
        <w:t>4</w:t>
      </w:r>
      <w:r w:rsidRPr="0010556A">
        <w:rPr>
          <w:rFonts w:cstheme="minorHAnsi"/>
        </w:rPr>
        <w:t xml:space="preserve">). </w:t>
      </w:r>
    </w:p>
    <w:p w14:paraId="37CCF3CA" w14:textId="77777777" w:rsidR="00FB7E5E" w:rsidRDefault="00FB7E5E" w:rsidP="00FB7E5E">
      <w:pPr>
        <w:spacing w:after="0" w:line="240" w:lineRule="auto"/>
        <w:rPr>
          <w:rFonts w:cstheme="minorHAnsi"/>
          <w:bCs/>
          <w:sz w:val="24"/>
          <w:szCs w:val="24"/>
          <w:highlight w:val="yellow"/>
        </w:rPr>
      </w:pPr>
    </w:p>
    <w:p w14:paraId="1EA8F1A1" w14:textId="77777777" w:rsidR="005E35CD" w:rsidRDefault="005E35CD" w:rsidP="00FB7E5E">
      <w:pPr>
        <w:spacing w:after="0" w:line="240" w:lineRule="auto"/>
        <w:rPr>
          <w:rFonts w:cstheme="minorHAnsi"/>
          <w:bCs/>
          <w:sz w:val="24"/>
          <w:szCs w:val="24"/>
          <w:highlight w:val="yellow"/>
        </w:rPr>
      </w:pPr>
    </w:p>
    <w:p w14:paraId="0BA767B3" w14:textId="77777777" w:rsidR="005E35CD" w:rsidRDefault="005E35CD" w:rsidP="00FB7E5E">
      <w:pPr>
        <w:spacing w:after="0" w:line="240" w:lineRule="auto"/>
        <w:rPr>
          <w:rFonts w:cstheme="minorHAnsi"/>
          <w:bCs/>
          <w:sz w:val="24"/>
          <w:szCs w:val="24"/>
          <w:highlight w:val="yellow"/>
        </w:rPr>
      </w:pPr>
    </w:p>
    <w:p w14:paraId="6A904DEA" w14:textId="77777777" w:rsidR="005E35CD" w:rsidRDefault="005E35CD" w:rsidP="00FB7E5E">
      <w:pPr>
        <w:spacing w:after="0" w:line="240" w:lineRule="auto"/>
        <w:rPr>
          <w:rFonts w:cstheme="minorHAnsi"/>
          <w:bCs/>
          <w:sz w:val="24"/>
          <w:szCs w:val="24"/>
          <w:highlight w:val="yellow"/>
        </w:rPr>
      </w:pPr>
    </w:p>
    <w:p w14:paraId="3DC95DAF" w14:textId="77777777" w:rsidR="00FB09F4" w:rsidRDefault="00FB09F4" w:rsidP="00FB7E5E">
      <w:pPr>
        <w:spacing w:after="0" w:line="240" w:lineRule="auto"/>
        <w:rPr>
          <w:rFonts w:cstheme="minorHAnsi"/>
          <w:bCs/>
          <w:sz w:val="24"/>
          <w:szCs w:val="24"/>
          <w:highlight w:val="yellow"/>
        </w:rPr>
      </w:pPr>
    </w:p>
    <w:p w14:paraId="53A1AEAA" w14:textId="0B536887" w:rsidR="00FB09F4" w:rsidRDefault="00FB09F4" w:rsidP="00FB7E5E">
      <w:pPr>
        <w:spacing w:after="0" w:line="240" w:lineRule="auto"/>
        <w:rPr>
          <w:rFonts w:cstheme="minorHAnsi"/>
          <w:bCs/>
          <w:sz w:val="24"/>
          <w:szCs w:val="24"/>
          <w:highlight w:val="yellow"/>
        </w:rPr>
      </w:pPr>
    </w:p>
    <w:p w14:paraId="19DDBFF6" w14:textId="77777777" w:rsidR="00944902" w:rsidRDefault="00944902" w:rsidP="00FB7E5E">
      <w:pPr>
        <w:spacing w:after="0" w:line="240" w:lineRule="auto"/>
        <w:rPr>
          <w:rFonts w:cstheme="minorHAnsi"/>
          <w:bCs/>
          <w:sz w:val="24"/>
          <w:szCs w:val="24"/>
          <w:highlight w:val="yellow"/>
        </w:rPr>
      </w:pPr>
    </w:p>
    <w:p w14:paraId="01EC02B5" w14:textId="77777777" w:rsidR="00FB09F4" w:rsidRDefault="00FB09F4" w:rsidP="00FB7E5E">
      <w:pPr>
        <w:spacing w:after="0" w:line="240" w:lineRule="auto"/>
        <w:rPr>
          <w:rFonts w:cstheme="minorHAnsi"/>
          <w:bCs/>
          <w:sz w:val="24"/>
          <w:szCs w:val="24"/>
          <w:highlight w:val="yellow"/>
        </w:rPr>
      </w:pPr>
    </w:p>
    <w:p w14:paraId="1DF1F5C5" w14:textId="77777777" w:rsidR="00FB09F4" w:rsidRPr="00FB7E5E" w:rsidRDefault="00FB09F4" w:rsidP="00FB7E5E">
      <w:pPr>
        <w:spacing w:after="0" w:line="240" w:lineRule="auto"/>
        <w:rPr>
          <w:rFonts w:cstheme="minorHAnsi"/>
          <w:bCs/>
          <w:sz w:val="24"/>
          <w:szCs w:val="24"/>
          <w:highlight w:val="yellow"/>
        </w:rPr>
      </w:pPr>
    </w:p>
    <w:p w14:paraId="27DFB742" w14:textId="658DB24D" w:rsidR="00FB7E5E" w:rsidRPr="00FB7E5E" w:rsidRDefault="00FB7E5E" w:rsidP="00FB7E5E">
      <w:pPr>
        <w:spacing w:after="0" w:line="240" w:lineRule="auto"/>
        <w:rPr>
          <w:rFonts w:cstheme="minorHAnsi"/>
          <w:b/>
          <w:bCs/>
          <w:sz w:val="24"/>
          <w:szCs w:val="24"/>
        </w:rPr>
      </w:pPr>
      <w:r w:rsidRPr="00FB7E5E">
        <w:rPr>
          <w:rFonts w:cstheme="minorHAnsi"/>
          <w:b/>
          <w:bCs/>
          <w:sz w:val="24"/>
          <w:szCs w:val="24"/>
        </w:rPr>
        <w:lastRenderedPageBreak/>
        <w:t>Gráfico 2</w:t>
      </w:r>
      <w:r w:rsidR="007B420A">
        <w:rPr>
          <w:rFonts w:cstheme="minorHAnsi"/>
          <w:b/>
          <w:bCs/>
          <w:sz w:val="24"/>
          <w:szCs w:val="24"/>
        </w:rPr>
        <w:t>4</w:t>
      </w:r>
    </w:p>
    <w:p w14:paraId="4C861AD8" w14:textId="77777777" w:rsidR="00FB7E5E" w:rsidRPr="00FB7E5E" w:rsidRDefault="00FB7E5E" w:rsidP="00FB7E5E">
      <w:pPr>
        <w:spacing w:after="0" w:line="240" w:lineRule="auto"/>
        <w:rPr>
          <w:rFonts w:cstheme="minorHAnsi"/>
          <w:b/>
          <w:bCs/>
          <w:sz w:val="24"/>
          <w:szCs w:val="24"/>
        </w:rPr>
      </w:pPr>
      <w:r w:rsidRPr="00FB7E5E">
        <w:rPr>
          <w:rFonts w:cstheme="minorHAnsi"/>
          <w:b/>
          <w:bCs/>
          <w:sz w:val="24"/>
          <w:szCs w:val="24"/>
        </w:rPr>
        <w:t xml:space="preserve">Distribución relativa de los productos registrados por categoría y ramo 2022 </w:t>
      </w:r>
    </w:p>
    <w:p w14:paraId="4FC0AF54" w14:textId="77777777" w:rsidR="00FB7E5E" w:rsidRPr="00FB7E5E" w:rsidRDefault="00FB7E5E" w:rsidP="00FB7E5E">
      <w:pPr>
        <w:spacing w:after="0" w:line="240" w:lineRule="auto"/>
        <w:rPr>
          <w:rFonts w:cstheme="minorHAnsi"/>
          <w:sz w:val="20"/>
          <w:szCs w:val="20"/>
        </w:rPr>
      </w:pPr>
      <w:r w:rsidRPr="00FB7E5E">
        <w:rPr>
          <w:rFonts w:cstheme="minorHAnsi"/>
          <w:sz w:val="20"/>
          <w:szCs w:val="20"/>
        </w:rPr>
        <w:t>(porcentajes)</w:t>
      </w:r>
    </w:p>
    <w:tbl>
      <w:tblPr>
        <w:tblStyle w:val="Tablaconcuadrcula"/>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636"/>
      </w:tblGrid>
      <w:tr w:rsidR="00FB7E5E" w:rsidRPr="00FB7E5E" w14:paraId="5A1444BA" w14:textId="77777777" w:rsidTr="00FB09F4">
        <w:tc>
          <w:tcPr>
            <w:tcW w:w="5106" w:type="dxa"/>
          </w:tcPr>
          <w:p w14:paraId="2E1301B5" w14:textId="77777777" w:rsidR="00FB7E5E" w:rsidRPr="00FB7E5E" w:rsidRDefault="00FB7E5E" w:rsidP="00D07F28">
            <w:pPr>
              <w:jc w:val="both"/>
              <w:rPr>
                <w:rFonts w:asciiTheme="minorHAnsi" w:hAnsiTheme="minorHAnsi" w:cstheme="minorHAnsi"/>
                <w:sz w:val="24"/>
                <w:szCs w:val="24"/>
                <w:highlight w:val="yellow"/>
                <w:lang w:val="es-CR"/>
              </w:rPr>
            </w:pPr>
            <w:r w:rsidRPr="00FB7E5E">
              <w:rPr>
                <w:rFonts w:cstheme="minorHAnsi"/>
                <w:noProof/>
              </w:rPr>
              <w:drawing>
                <wp:inline distT="0" distB="0" distL="0" distR="0" wp14:anchorId="26D063A7" wp14:editId="238BB2F2">
                  <wp:extent cx="3099579" cy="2146712"/>
                  <wp:effectExtent l="0" t="0" r="571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317" t="11121" r="723"/>
                          <a:stretch/>
                        </pic:blipFill>
                        <pic:spPr bwMode="auto">
                          <a:xfrm>
                            <a:off x="0" y="0"/>
                            <a:ext cx="3139978" cy="2174692"/>
                          </a:xfrm>
                          <a:prstGeom prst="rect">
                            <a:avLst/>
                          </a:prstGeom>
                          <a:ln>
                            <a:noFill/>
                          </a:ln>
                          <a:extLst>
                            <a:ext uri="{53640926-AAD7-44D8-BBD7-CCE9431645EC}">
                              <a14:shadowObscured xmlns:a14="http://schemas.microsoft.com/office/drawing/2010/main"/>
                            </a:ext>
                          </a:extLst>
                        </pic:spPr>
                      </pic:pic>
                    </a:graphicData>
                  </a:graphic>
                </wp:inline>
              </w:drawing>
            </w:r>
          </w:p>
        </w:tc>
        <w:tc>
          <w:tcPr>
            <w:tcW w:w="4636" w:type="dxa"/>
          </w:tcPr>
          <w:p w14:paraId="2A354E94" w14:textId="77777777" w:rsidR="00FB7E5E" w:rsidRPr="00FB7E5E" w:rsidRDefault="00FB7E5E" w:rsidP="00D07F28">
            <w:pPr>
              <w:jc w:val="both"/>
              <w:rPr>
                <w:rFonts w:asciiTheme="minorHAnsi" w:hAnsiTheme="minorHAnsi" w:cstheme="minorHAnsi"/>
                <w:sz w:val="24"/>
                <w:szCs w:val="24"/>
                <w:highlight w:val="yellow"/>
                <w:lang w:val="es-CR"/>
              </w:rPr>
            </w:pPr>
            <w:r w:rsidRPr="00FB7E5E">
              <w:rPr>
                <w:rFonts w:cstheme="minorHAnsi"/>
                <w:noProof/>
              </w:rPr>
              <w:drawing>
                <wp:inline distT="0" distB="0" distL="0" distR="0" wp14:anchorId="415CA702" wp14:editId="1A7FE14E">
                  <wp:extent cx="2806878" cy="211816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69" t="8336" r="1297"/>
                          <a:stretch/>
                        </pic:blipFill>
                        <pic:spPr bwMode="auto">
                          <a:xfrm>
                            <a:off x="0" y="0"/>
                            <a:ext cx="2834138" cy="2138738"/>
                          </a:xfrm>
                          <a:prstGeom prst="rect">
                            <a:avLst/>
                          </a:prstGeom>
                          <a:ln>
                            <a:noFill/>
                          </a:ln>
                          <a:extLst>
                            <a:ext uri="{53640926-AAD7-44D8-BBD7-CCE9431645EC}">
                              <a14:shadowObscured xmlns:a14="http://schemas.microsoft.com/office/drawing/2010/main"/>
                            </a:ext>
                          </a:extLst>
                        </pic:spPr>
                      </pic:pic>
                    </a:graphicData>
                  </a:graphic>
                </wp:inline>
              </w:drawing>
            </w:r>
          </w:p>
        </w:tc>
      </w:tr>
      <w:tr w:rsidR="00FB7E5E" w:rsidRPr="00FB7E5E" w14:paraId="257D2450" w14:textId="77777777" w:rsidTr="00FB09F4">
        <w:tc>
          <w:tcPr>
            <w:tcW w:w="5106" w:type="dxa"/>
          </w:tcPr>
          <w:p w14:paraId="569D7FEA" w14:textId="77777777" w:rsidR="00FB7E5E" w:rsidRPr="00FB7E5E" w:rsidRDefault="00FB7E5E" w:rsidP="00D07F28">
            <w:pPr>
              <w:jc w:val="center"/>
              <w:rPr>
                <w:rFonts w:asciiTheme="minorHAnsi" w:hAnsiTheme="minorHAnsi" w:cstheme="minorHAnsi"/>
                <w:lang w:val="es-CR"/>
              </w:rPr>
            </w:pPr>
            <w:r w:rsidRPr="00FB7E5E">
              <w:rPr>
                <w:rFonts w:asciiTheme="minorHAnsi" w:hAnsiTheme="minorHAnsi" w:cstheme="minorHAnsi"/>
                <w:b/>
                <w:bCs/>
                <w:color w:val="000000" w:themeColor="text1"/>
                <w:lang w:val="es-CR" w:eastAsia="es-CR"/>
              </w:rPr>
              <w:t>Seguros Generales: 433 productos (51%)</w:t>
            </w:r>
          </w:p>
        </w:tc>
        <w:tc>
          <w:tcPr>
            <w:tcW w:w="4636" w:type="dxa"/>
          </w:tcPr>
          <w:p w14:paraId="734126DF" w14:textId="77777777" w:rsidR="00FB7E5E" w:rsidRPr="00FB7E5E" w:rsidRDefault="00FB7E5E" w:rsidP="00D07F28">
            <w:pPr>
              <w:jc w:val="center"/>
              <w:rPr>
                <w:rFonts w:asciiTheme="minorHAnsi" w:hAnsiTheme="minorHAnsi" w:cstheme="minorHAnsi"/>
                <w:lang w:val="es-CR"/>
              </w:rPr>
            </w:pPr>
            <w:r w:rsidRPr="00FB7E5E">
              <w:rPr>
                <w:rFonts w:asciiTheme="minorHAnsi" w:hAnsiTheme="minorHAnsi" w:cstheme="minorHAnsi"/>
                <w:b/>
                <w:bCs/>
                <w:color w:val="000000" w:themeColor="text1"/>
                <w:lang w:val="es-CR" w:eastAsia="es-CR"/>
              </w:rPr>
              <w:t>Seguros Personales: 407 productos (49%)</w:t>
            </w:r>
          </w:p>
        </w:tc>
      </w:tr>
      <w:tr w:rsidR="00FB7E5E" w:rsidRPr="00FB7E5E" w14:paraId="0A7BE91B" w14:textId="77777777" w:rsidTr="00FB09F4">
        <w:trPr>
          <w:trHeight w:val="671"/>
        </w:trPr>
        <w:tc>
          <w:tcPr>
            <w:tcW w:w="5106" w:type="dxa"/>
          </w:tcPr>
          <w:p w14:paraId="4CE6C8BC" w14:textId="77777777" w:rsidR="00FB7E5E" w:rsidRPr="00FB7E5E" w:rsidRDefault="00FB7E5E" w:rsidP="00D07F28">
            <w:pPr>
              <w:rPr>
                <w:rFonts w:asciiTheme="minorHAnsi" w:hAnsiTheme="minorHAnsi" w:cstheme="minorHAnsi"/>
                <w:b/>
                <w:bCs/>
                <w:color w:val="000000" w:themeColor="text1"/>
                <w:lang w:val="es-CR" w:eastAsia="es-CR"/>
              </w:rPr>
            </w:pPr>
            <w:r w:rsidRPr="00FB7E5E">
              <w:rPr>
                <w:rFonts w:asciiTheme="minorHAnsi" w:hAnsiTheme="minorHAnsi" w:cstheme="minorHAnsi"/>
                <w:i/>
                <w:iCs/>
                <w:color w:val="000000" w:themeColor="text1"/>
                <w:sz w:val="18"/>
                <w:szCs w:val="18"/>
                <w:lang w:val="es-CR" w:eastAsia="es-CR"/>
              </w:rPr>
              <w:t>* Otros: Incluye agrícolas y pecuarios, vehículos marítimos, crédito, aviación y seguros de asistencias ramos generales</w:t>
            </w:r>
          </w:p>
        </w:tc>
        <w:tc>
          <w:tcPr>
            <w:tcW w:w="4636" w:type="dxa"/>
          </w:tcPr>
          <w:p w14:paraId="4CAFAC90" w14:textId="77777777" w:rsidR="00FB7E5E" w:rsidRPr="00FB7E5E" w:rsidRDefault="00FB7E5E" w:rsidP="00D07F28">
            <w:pPr>
              <w:rPr>
                <w:rFonts w:asciiTheme="minorHAnsi" w:hAnsiTheme="minorHAnsi" w:cstheme="minorHAnsi"/>
                <w:lang w:val="es-CR"/>
              </w:rPr>
            </w:pPr>
            <w:r w:rsidRPr="00FB7E5E">
              <w:rPr>
                <w:rFonts w:asciiTheme="minorHAnsi" w:hAnsiTheme="minorHAnsi" w:cstheme="minorHAnsi"/>
                <w:i/>
                <w:iCs/>
                <w:color w:val="000000" w:themeColor="text1"/>
                <w:sz w:val="18"/>
                <w:szCs w:val="18"/>
                <w:lang w:val="es-CR" w:eastAsia="es-CR"/>
              </w:rPr>
              <w:t>Los ramos de accidentes y salud son independientes a partir del 26 de noviembre de 2014. Antes de esta fecha, conformaban un único ramo</w:t>
            </w:r>
          </w:p>
        </w:tc>
      </w:tr>
    </w:tbl>
    <w:p w14:paraId="69432726" w14:textId="77777777" w:rsidR="00FB09F4" w:rsidRPr="00FB7E5E" w:rsidRDefault="00FB09F4" w:rsidP="00FB09F4">
      <w:pPr>
        <w:spacing w:after="0" w:line="240" w:lineRule="auto"/>
        <w:jc w:val="both"/>
        <w:rPr>
          <w:rFonts w:cstheme="minorHAnsi"/>
          <w:sz w:val="24"/>
          <w:szCs w:val="24"/>
          <w:highlight w:val="yellow"/>
        </w:rPr>
      </w:pPr>
      <w:r w:rsidRPr="00FB7E5E">
        <w:rPr>
          <w:rFonts w:cstheme="minorHAnsi"/>
          <w:color w:val="595959" w:themeColor="text1" w:themeTint="A6"/>
          <w:sz w:val="20"/>
          <w:szCs w:val="20"/>
        </w:rPr>
        <w:t>Fuente: Superintendencia General de Seguros (Sugese)</w:t>
      </w:r>
    </w:p>
    <w:p w14:paraId="7B3D6606" w14:textId="77777777" w:rsidR="00FB7E5E" w:rsidRPr="00FB7E5E" w:rsidRDefault="00FB7E5E" w:rsidP="00FB7E5E">
      <w:pPr>
        <w:spacing w:line="240" w:lineRule="auto"/>
        <w:jc w:val="both"/>
        <w:rPr>
          <w:rFonts w:cstheme="minorHAnsi"/>
          <w:sz w:val="24"/>
          <w:szCs w:val="24"/>
          <w:highlight w:val="yellow"/>
        </w:rPr>
      </w:pPr>
    </w:p>
    <w:sectPr w:rsidR="00FB7E5E" w:rsidRPr="00FB7E5E" w:rsidSect="00593749">
      <w:headerReference w:type="default" r:id="rId50"/>
      <w:footerReference w:type="default" r:id="rId51"/>
      <w:pgSz w:w="12240" w:h="15840"/>
      <w:pgMar w:top="1843" w:right="1183"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1E6B" w14:textId="77777777" w:rsidR="0076019B" w:rsidRDefault="0076019B" w:rsidP="00A05E79">
      <w:pPr>
        <w:spacing w:after="0" w:line="240" w:lineRule="auto"/>
      </w:pPr>
      <w:r>
        <w:separator/>
      </w:r>
    </w:p>
  </w:endnote>
  <w:endnote w:type="continuationSeparator" w:id="0">
    <w:p w14:paraId="4FDE4DD0" w14:textId="77777777" w:rsidR="0076019B" w:rsidRDefault="0076019B" w:rsidP="00A05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CD96" w14:textId="5923A996" w:rsidR="00102625" w:rsidRDefault="006543E1">
    <w:pPr>
      <w:pStyle w:val="Piedepgina"/>
      <w:rPr>
        <w:noProof/>
      </w:rPr>
    </w:pPr>
    <w:r>
      <w:rPr>
        <w:noProof/>
      </w:rPr>
      <mc:AlternateContent>
        <mc:Choice Requires="wps">
          <w:drawing>
            <wp:anchor distT="0" distB="0" distL="114300" distR="114300" simplePos="0" relativeHeight="251662848" behindDoc="0" locked="0" layoutInCell="0" allowOverlap="1" wp14:anchorId="482DC086" wp14:editId="36E4C755">
              <wp:simplePos x="0" y="0"/>
              <wp:positionH relativeFrom="page">
                <wp:posOffset>0</wp:posOffset>
              </wp:positionH>
              <wp:positionV relativeFrom="page">
                <wp:posOffset>9594215</wp:posOffset>
              </wp:positionV>
              <wp:extent cx="7772400" cy="273050"/>
              <wp:effectExtent l="0" t="0" r="0" b="12700"/>
              <wp:wrapNone/>
              <wp:docPr id="1" name="MSIPCM701e4e16b257bcb7571985e8"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A9384" w14:textId="1A3DC54B" w:rsidR="006543E1" w:rsidRPr="006543E1" w:rsidRDefault="006543E1" w:rsidP="006543E1">
                          <w:pPr>
                            <w:spacing w:after="0"/>
                            <w:jc w:val="center"/>
                            <w:rPr>
                              <w:rFonts w:ascii="Calibri" w:hAnsi="Calibri" w:cs="Calibri"/>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2DC086" id="_x0000_t202" coordsize="21600,21600" o:spt="202" path="m,l,21600r21600,l21600,xe">
              <v:stroke joinstyle="miter"/>
              <v:path gradientshapeok="t" o:connecttype="rect"/>
            </v:shapetype>
            <v:shape id="MSIPCM701e4e16b257bcb7571985e8" o:spid="_x0000_s1029" type="#_x0000_t202" alt="{&quot;HashCode&quot;:1186230005,&quot;Height&quot;:792.0,&quot;Width&quot;:612.0,&quot;Placement&quot;:&quot;Footer&quot;,&quot;Index&quot;:&quot;Primary&quot;,&quot;Section&quot;:1,&quot;Top&quot;:0.0,&quot;Left&quot;:0.0}" style="position:absolute;margin-left:0;margin-top:755.45pt;width:612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3CAA9384" w14:textId="1A3DC54B" w:rsidR="006543E1" w:rsidRPr="006543E1" w:rsidRDefault="006543E1" w:rsidP="006543E1">
                    <w:pPr>
                      <w:spacing w:after="0"/>
                      <w:jc w:val="center"/>
                      <w:rPr>
                        <w:rFonts w:ascii="Calibri" w:hAnsi="Calibri" w:cs="Calibri"/>
                        <w:color w:val="000000"/>
                        <w:sz w:val="20"/>
                      </w:rPr>
                    </w:pPr>
                  </w:p>
                </w:txbxContent>
              </v:textbox>
              <w10:wrap anchorx="page" anchory="page"/>
            </v:shape>
          </w:pict>
        </mc:Fallback>
      </mc:AlternateContent>
    </w:r>
    <w:r w:rsidR="00102625">
      <w:rPr>
        <w:noProof/>
      </w:rPr>
      <w:drawing>
        <wp:anchor distT="0" distB="0" distL="114300" distR="114300" simplePos="0" relativeHeight="251661824" behindDoc="1" locked="0" layoutInCell="1" allowOverlap="1" wp14:anchorId="63F01DCB" wp14:editId="2431EF8E">
          <wp:simplePos x="0" y="0"/>
          <wp:positionH relativeFrom="column">
            <wp:posOffset>-1308735</wp:posOffset>
          </wp:positionH>
          <wp:positionV relativeFrom="paragraph">
            <wp:posOffset>-495935</wp:posOffset>
          </wp:positionV>
          <wp:extent cx="8369300" cy="2671396"/>
          <wp:effectExtent l="0" t="0" r="0" b="0"/>
          <wp:wrapNone/>
          <wp:docPr id="449" name="Imagen 44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t="77434"/>
                  <a:stretch/>
                </pic:blipFill>
                <pic:spPr bwMode="auto">
                  <a:xfrm>
                    <a:off x="0" y="0"/>
                    <a:ext cx="8369300" cy="2671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25DAA" w14:textId="57952C0C" w:rsidR="00A05E79" w:rsidRDefault="00A05E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8D8F6" w14:textId="77777777" w:rsidR="0076019B" w:rsidRDefault="0076019B" w:rsidP="00A05E79">
      <w:pPr>
        <w:spacing w:after="0" w:line="240" w:lineRule="auto"/>
      </w:pPr>
      <w:r>
        <w:separator/>
      </w:r>
    </w:p>
  </w:footnote>
  <w:footnote w:type="continuationSeparator" w:id="0">
    <w:p w14:paraId="6DBB738D" w14:textId="77777777" w:rsidR="0076019B" w:rsidRDefault="0076019B" w:rsidP="00A05E79">
      <w:pPr>
        <w:spacing w:after="0" w:line="240" w:lineRule="auto"/>
      </w:pPr>
      <w:r>
        <w:continuationSeparator/>
      </w:r>
    </w:p>
  </w:footnote>
  <w:footnote w:id="1">
    <w:p w14:paraId="4766EDB6" w14:textId="77777777" w:rsidR="0099407F" w:rsidRPr="00F7758F" w:rsidRDefault="0099407F" w:rsidP="0099407F">
      <w:pPr>
        <w:pStyle w:val="Textonotapie"/>
        <w:rPr>
          <w:rFonts w:ascii="Verdana" w:hAnsi="Verdana"/>
          <w:sz w:val="16"/>
          <w:szCs w:val="16"/>
        </w:rPr>
      </w:pPr>
      <w:r w:rsidRPr="00F7758F">
        <w:rPr>
          <w:rStyle w:val="Refdenotaalpie"/>
          <w:rFonts w:ascii="Verdana" w:hAnsi="Verdana"/>
          <w:sz w:val="16"/>
          <w:szCs w:val="16"/>
        </w:rPr>
        <w:footnoteRef/>
      </w:r>
      <w:r w:rsidRPr="00F7758F">
        <w:rPr>
          <w:rFonts w:ascii="Verdana" w:hAnsi="Verdana"/>
          <w:sz w:val="16"/>
          <w:szCs w:val="16"/>
        </w:rPr>
        <w:t xml:space="preserve"> </w:t>
      </w:r>
      <w:hyperlink r:id="rId1" w:history="1">
        <w:r w:rsidRPr="00F7758F">
          <w:rPr>
            <w:rStyle w:val="Hipervnculo"/>
            <w:rFonts w:ascii="Verdana" w:hAnsi="Verdana"/>
            <w:i/>
            <w:iCs/>
            <w:sz w:val="12"/>
            <w:szCs w:val="12"/>
          </w:rPr>
          <w:t>https://gee.bccr.fi.cr/indicadoreseconomicos/Cuadros/frmVerCatCuadro.aspx?idioma=1&amp;CodCuadro=%205792</w:t>
        </w:r>
      </w:hyperlink>
      <w:r w:rsidRPr="00F7758F">
        <w:rPr>
          <w:rFonts w:ascii="Verdana" w:hAnsi="Verdana"/>
          <w:i/>
          <w:iCs/>
          <w:sz w:val="12"/>
          <w:szCs w:val="12"/>
        </w:rPr>
        <w:t xml:space="preserve"> </w:t>
      </w:r>
    </w:p>
  </w:footnote>
  <w:footnote w:id="2">
    <w:p w14:paraId="52BA31FD" w14:textId="77777777" w:rsidR="0099407F" w:rsidRPr="00281A2F" w:rsidRDefault="0099407F" w:rsidP="0099407F">
      <w:pPr>
        <w:pStyle w:val="Textonotapie"/>
        <w:jc w:val="both"/>
        <w:rPr>
          <w:i/>
          <w:iCs/>
        </w:rPr>
      </w:pPr>
      <w:r w:rsidRPr="35040D7E">
        <w:rPr>
          <w:rStyle w:val="Refdenotaalpie"/>
          <w:i/>
          <w:iCs/>
        </w:rPr>
        <w:footnoteRef/>
      </w:r>
      <w:r w:rsidRPr="35040D7E">
        <w:rPr>
          <w:i/>
          <w:iCs/>
        </w:rPr>
        <w:t xml:space="preserve"> </w:t>
      </w:r>
      <w:r w:rsidRPr="00527EF6">
        <w:rPr>
          <w:i/>
          <w:iCs/>
        </w:rPr>
        <w:t>Si bien la aseguradora Triple-S dejó de comercializar seguros en abril de 2022, al finalizar el año se encontraba en los últimos trámites legales para su des inscripción definitiva, se mantenía en el registro de aseguradoras, pero sin reportar datos estadísticos al no tener operaciones. Para el análisis de composición de las primas del mercado por aseguradora, a diciembre 2022, no se considera la evolución de dicha entidad.</w:t>
      </w:r>
    </w:p>
  </w:footnote>
  <w:footnote w:id="3">
    <w:p w14:paraId="25C810D4" w14:textId="77777777" w:rsidR="00E769AB" w:rsidRPr="00AA5E6E" w:rsidRDefault="00E769AB" w:rsidP="00E769AB">
      <w:pPr>
        <w:pStyle w:val="Textonotapie"/>
        <w:jc w:val="both"/>
        <w:rPr>
          <w:i/>
          <w:iCs/>
          <w:sz w:val="16"/>
          <w:szCs w:val="16"/>
          <w:lang w:val="es-ES"/>
        </w:rPr>
      </w:pPr>
      <w:r w:rsidRPr="00AA5E6E">
        <w:rPr>
          <w:rStyle w:val="Refdenotaalpie"/>
          <w:i/>
          <w:iCs/>
          <w:sz w:val="16"/>
          <w:szCs w:val="16"/>
        </w:rPr>
        <w:footnoteRef/>
      </w:r>
      <w:r w:rsidRPr="00AA5E6E">
        <w:rPr>
          <w:i/>
          <w:iCs/>
          <w:sz w:val="16"/>
          <w:szCs w:val="16"/>
        </w:rPr>
        <w:t xml:space="preserve"> </w:t>
      </w:r>
      <w:r w:rsidRPr="00AA5E6E">
        <w:rPr>
          <w:i/>
          <w:iCs/>
          <w:sz w:val="16"/>
          <w:szCs w:val="16"/>
          <w:lang w:val="es-ES"/>
        </w:rPr>
        <w:t xml:space="preserve">Para mayor detalle ver el </w:t>
      </w:r>
      <w:hyperlink r:id="rId2" w:history="1">
        <w:r w:rsidRPr="007B24B9">
          <w:rPr>
            <w:rStyle w:val="Hipervnculo"/>
            <w:i/>
            <w:iCs/>
            <w:sz w:val="16"/>
            <w:szCs w:val="16"/>
            <w:lang w:val="es-ES"/>
          </w:rPr>
          <w:t>Reporte Resultado Técnico-Financiero</w:t>
        </w:r>
      </w:hyperlink>
      <w:r w:rsidRPr="00AA5E6E">
        <w:rPr>
          <w:i/>
          <w:iCs/>
          <w:sz w:val="16"/>
          <w:szCs w:val="16"/>
          <w:lang w:val="es-ES"/>
        </w:rPr>
        <w:t>, disponible en el sitio web de la Superintendencia, donde se publica la cuenta técnica desde 2017, por aseguradora y por ramo y para todo el mercado.</w:t>
      </w:r>
    </w:p>
    <w:p w14:paraId="073A6B1D" w14:textId="77777777" w:rsidR="00E769AB" w:rsidRPr="00CC46B9" w:rsidRDefault="00E769AB" w:rsidP="00E769AB">
      <w:pPr>
        <w:pStyle w:val="Textonotapie"/>
        <w:jc w:val="both"/>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628D" w14:textId="2AEEE69E" w:rsidR="00A05E79" w:rsidRDefault="000B3C92" w:rsidP="000B3C92">
    <w:pPr>
      <w:pStyle w:val="Encabezado"/>
      <w:tabs>
        <w:tab w:val="clear" w:pos="4419"/>
        <w:tab w:val="clear" w:pos="8838"/>
        <w:tab w:val="left" w:pos="3580"/>
      </w:tabs>
    </w:pPr>
    <w:r>
      <w:rPr>
        <w:noProof/>
      </w:rPr>
      <w:drawing>
        <wp:anchor distT="0" distB="0" distL="114300" distR="114300" simplePos="0" relativeHeight="251658752" behindDoc="1" locked="0" layoutInCell="1" allowOverlap="1" wp14:anchorId="2A120D99" wp14:editId="663503B3">
          <wp:simplePos x="0" y="0"/>
          <wp:positionH relativeFrom="column">
            <wp:posOffset>-1080135</wp:posOffset>
          </wp:positionH>
          <wp:positionV relativeFrom="paragraph">
            <wp:posOffset>-449580</wp:posOffset>
          </wp:positionV>
          <wp:extent cx="7799062" cy="1231900"/>
          <wp:effectExtent l="0" t="0" r="0" b="6350"/>
          <wp:wrapNone/>
          <wp:docPr id="448" name="Imagen 44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b="88833"/>
                  <a:stretch/>
                </pic:blipFill>
                <pic:spPr bwMode="auto">
                  <a:xfrm>
                    <a:off x="0" y="0"/>
                    <a:ext cx="7836852" cy="1237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5C42166"/>
    <w:lvl w:ilvl="0">
      <w:start w:val="1"/>
      <w:numFmt w:val="decimal"/>
      <w:pStyle w:val="Listaconnmeros"/>
      <w:lvlText w:val="%1."/>
      <w:lvlJc w:val="left"/>
      <w:pPr>
        <w:tabs>
          <w:tab w:val="num" w:pos="360"/>
        </w:tabs>
        <w:ind w:left="360" w:hanging="360"/>
      </w:pPr>
    </w:lvl>
  </w:abstractNum>
  <w:abstractNum w:abstractNumId="1" w15:restartNumberingAfterBreak="0">
    <w:nsid w:val="02CB5EE9"/>
    <w:multiLevelType w:val="hybridMultilevel"/>
    <w:tmpl w:val="17580CE2"/>
    <w:lvl w:ilvl="0" w:tplc="922C14B4">
      <w:start w:val="1"/>
      <w:numFmt w:val="lowerLetter"/>
      <w:lvlText w:val="%1)"/>
      <w:lvlJc w:val="left"/>
      <w:pPr>
        <w:ind w:left="1428" w:hanging="360"/>
      </w:pPr>
      <w:rPr>
        <w:b/>
        <w:bCs/>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5FA003D"/>
    <w:multiLevelType w:val="hybridMultilevel"/>
    <w:tmpl w:val="47747B50"/>
    <w:lvl w:ilvl="0" w:tplc="9BACC456">
      <w:start w:val="1"/>
      <w:numFmt w:val="bullet"/>
      <w:lvlText w:val=""/>
      <w:lvlJc w:val="left"/>
      <w:pPr>
        <w:ind w:left="720" w:hanging="360"/>
      </w:pPr>
      <w:rPr>
        <w:rFonts w:ascii="Symbol" w:hAnsi="Symbol" w:hint="default"/>
        <w:sz w:val="24"/>
        <w:szCs w:val="24"/>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D55061"/>
    <w:multiLevelType w:val="hybridMultilevel"/>
    <w:tmpl w:val="A0CC5B6E"/>
    <w:lvl w:ilvl="0" w:tplc="ECC846DA">
      <w:start w:val="1"/>
      <w:numFmt w:val="decimal"/>
      <w:lvlText w:val="%1)"/>
      <w:lvlJc w:val="left"/>
      <w:pPr>
        <w:ind w:left="720" w:hanging="360"/>
      </w:pPr>
      <w:rPr>
        <w:rFonts w:asciiTheme="minorHAnsi" w:eastAsia="Times New Roman" w:hAnsiTheme="minorHAnsi" w:cstheme="minorHAnsi"/>
        <w:b/>
      </w:rPr>
    </w:lvl>
    <w:lvl w:ilvl="1" w:tplc="26223818">
      <w:numFmt w:val="bullet"/>
      <w:lvlText w:val="•"/>
      <w:lvlJc w:val="left"/>
      <w:pPr>
        <w:ind w:left="1785" w:hanging="705"/>
      </w:pPr>
      <w:rPr>
        <w:rFonts w:ascii="Calibri" w:eastAsiaTheme="minorHAnsi" w:hAnsi="Calibri" w:cs="Calibri"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A2150A7"/>
    <w:multiLevelType w:val="hybridMultilevel"/>
    <w:tmpl w:val="D9F2CC3A"/>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DA23309"/>
    <w:multiLevelType w:val="hybridMultilevel"/>
    <w:tmpl w:val="F104EA76"/>
    <w:lvl w:ilvl="0" w:tplc="140A0001">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16AF6E83"/>
    <w:multiLevelType w:val="hybridMultilevel"/>
    <w:tmpl w:val="6AA84014"/>
    <w:lvl w:ilvl="0" w:tplc="1FB26684">
      <w:start w:val="2"/>
      <w:numFmt w:val="bullet"/>
      <w:lvlText w:val="-"/>
      <w:lvlJc w:val="left"/>
      <w:pPr>
        <w:ind w:left="720" w:hanging="360"/>
      </w:pPr>
      <w:rPr>
        <w:rFonts w:ascii="Calibri" w:eastAsia="Times New Roman"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AA72DC1"/>
    <w:multiLevelType w:val="hybridMultilevel"/>
    <w:tmpl w:val="DCFA25A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1E4F015A"/>
    <w:multiLevelType w:val="multilevel"/>
    <w:tmpl w:val="C744F404"/>
    <w:lvl w:ilvl="0">
      <w:start w:val="1"/>
      <w:numFmt w:val="decimal"/>
      <w:pStyle w:val="Ttulo1"/>
      <w:suff w:val="space"/>
      <w:lvlText w:val="%1."/>
      <w:lvlJc w:val="left"/>
      <w:pPr>
        <w:ind w:left="2266" w:hanging="567"/>
      </w:pPr>
      <w:rPr>
        <w:rFonts w:cs="Times New Roman"/>
        <w:b/>
        <w:bCs w:val="0"/>
        <w:i w:val="0"/>
        <w:iCs w:val="0"/>
        <w: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suff w:val="space"/>
      <w:lvlText w:val="%1.%2"/>
      <w:lvlJc w:val="left"/>
      <w:pPr>
        <w:snapToGrid w:val="0"/>
        <w:ind w:left="3193" w:hanging="1134"/>
      </w:pPr>
      <w:rPr>
        <w:rFonts w:ascii="Arial" w:hAnsi="Arial" w:cs="Times New Roman" w:hint="default"/>
        <w:b/>
        <w:bCs w:val="0"/>
        <w:i w:val="0"/>
        <w:iCs w:val="0"/>
        <w:caps w:val="0"/>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suff w:val="space"/>
      <w:lvlText w:val="%1.%2.%3"/>
      <w:lvlJc w:val="left"/>
      <w:pPr>
        <w:snapToGrid w:val="0"/>
        <w:ind w:left="2694" w:hanging="567"/>
      </w:pPr>
      <w:rPr>
        <w:rFonts w:ascii="Arial" w:hAnsi="Arial" w:cs="Times New Roman" w:hint="default"/>
        <w:b/>
        <w:bCs w:val="0"/>
        <w:i w:val="0"/>
        <w:iCs w:val="0"/>
        <w:caps w:val="0"/>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suff w:val="space"/>
      <w:lvlText w:val="%1.%2.%3.%4"/>
      <w:lvlJc w:val="left"/>
      <w:pPr>
        <w:ind w:left="3346" w:hanging="567"/>
      </w:pPr>
      <w:rPr>
        <w:rFonts w:ascii="Arial" w:hAnsi="Arial" w:cs="Times New Roman" w:hint="default"/>
        <w:b/>
        <w:i w:val="0"/>
        <w:sz w:val="20"/>
        <w:szCs w:val="20"/>
      </w:rPr>
    </w:lvl>
    <w:lvl w:ilvl="4">
      <w:start w:val="1"/>
      <w:numFmt w:val="decimal"/>
      <w:pStyle w:val="Ttulo5"/>
      <w:lvlText w:val="%1.%2.%3.%4.%5"/>
      <w:lvlJc w:val="left"/>
      <w:pPr>
        <w:tabs>
          <w:tab w:val="num" w:pos="3139"/>
        </w:tabs>
        <w:ind w:left="2707" w:hanging="1008"/>
      </w:pPr>
      <w:rPr>
        <w:rFonts w:ascii="Arial" w:hAnsi="Arial" w:cs="Times New Roman" w:hint="default"/>
        <w:b/>
        <w:i w:val="0"/>
        <w:sz w:val="18"/>
        <w:szCs w:val="18"/>
      </w:rPr>
    </w:lvl>
    <w:lvl w:ilvl="5">
      <w:start w:val="1"/>
      <w:numFmt w:val="decimal"/>
      <w:pStyle w:val="Ttulo6"/>
      <w:lvlText w:val="%1.%2.%3.%4.%5.%6."/>
      <w:lvlJc w:val="left"/>
      <w:pPr>
        <w:tabs>
          <w:tab w:val="num" w:pos="2851"/>
        </w:tabs>
        <w:ind w:left="2851" w:hanging="1152"/>
      </w:pPr>
      <w:rPr>
        <w:rFonts w:ascii="Arial" w:hAnsi="Arial" w:cs="Times New Roman" w:hint="default"/>
        <w:b/>
        <w:i w:val="0"/>
        <w:sz w:val="18"/>
        <w:szCs w:val="18"/>
      </w:rPr>
    </w:lvl>
    <w:lvl w:ilvl="6">
      <w:start w:val="1"/>
      <w:numFmt w:val="decimal"/>
      <w:pStyle w:val="Ttulo7"/>
      <w:lvlText w:val="%1.%2.%3.%4.%5.%6.%7"/>
      <w:lvlJc w:val="left"/>
      <w:pPr>
        <w:tabs>
          <w:tab w:val="num" w:pos="2995"/>
        </w:tabs>
        <w:ind w:left="2995" w:hanging="1296"/>
      </w:pPr>
    </w:lvl>
    <w:lvl w:ilvl="7">
      <w:start w:val="1"/>
      <w:numFmt w:val="decimal"/>
      <w:pStyle w:val="Ttulo8"/>
      <w:lvlText w:val="%1.%2.%3.%4.%5.%6.%7.%8"/>
      <w:lvlJc w:val="left"/>
      <w:pPr>
        <w:tabs>
          <w:tab w:val="num" w:pos="3139"/>
        </w:tabs>
        <w:ind w:left="3139" w:hanging="1440"/>
      </w:pPr>
    </w:lvl>
    <w:lvl w:ilvl="8">
      <w:start w:val="1"/>
      <w:numFmt w:val="decimal"/>
      <w:lvlText w:val="%1.%2.%3.%4.%5.%6.%7.%8.%9"/>
      <w:lvlJc w:val="left"/>
      <w:pPr>
        <w:tabs>
          <w:tab w:val="num" w:pos="3283"/>
        </w:tabs>
        <w:ind w:left="3283" w:hanging="1584"/>
      </w:pPr>
    </w:lvl>
  </w:abstractNum>
  <w:abstractNum w:abstractNumId="9" w15:restartNumberingAfterBreak="0">
    <w:nsid w:val="2293095B"/>
    <w:multiLevelType w:val="hybridMultilevel"/>
    <w:tmpl w:val="19A42368"/>
    <w:lvl w:ilvl="0" w:tplc="A5505E46">
      <w:start w:val="1"/>
      <w:numFmt w:val="lowerLetter"/>
      <w:lvlText w:val="%1)"/>
      <w:lvlJc w:val="left"/>
      <w:pPr>
        <w:ind w:left="720" w:hanging="360"/>
      </w:pPr>
      <w:rPr>
        <w:rFonts w:cstheme="minorHAnsi"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4AE667E"/>
    <w:multiLevelType w:val="hybridMultilevel"/>
    <w:tmpl w:val="AF4EC536"/>
    <w:lvl w:ilvl="0" w:tplc="25742390">
      <w:start w:val="1"/>
      <w:numFmt w:val="lowerLetter"/>
      <w:lvlText w:val="%1)"/>
      <w:lvlJc w:val="left"/>
      <w:pPr>
        <w:ind w:left="780" w:hanging="360"/>
      </w:pPr>
      <w:rPr>
        <w:rFonts w:hint="default"/>
        <w:b/>
        <w:bCs/>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1" w15:restartNumberingAfterBreak="0">
    <w:nsid w:val="26234495"/>
    <w:multiLevelType w:val="hybridMultilevel"/>
    <w:tmpl w:val="9E0A965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BB16826"/>
    <w:multiLevelType w:val="multilevel"/>
    <w:tmpl w:val="F57298A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asciiTheme="minorHAnsi" w:eastAsiaTheme="minorHAnsi" w:hAnsiTheme="minorHAnsi" w:cstheme="minorHAnsi" w:hint="default"/>
        <w:b/>
      </w:rPr>
    </w:lvl>
    <w:lvl w:ilvl="2">
      <w:start w:val="1"/>
      <w:numFmt w:val="decimal"/>
      <w:isLgl/>
      <w:lvlText w:val="%1.%2.%3."/>
      <w:lvlJc w:val="left"/>
      <w:pPr>
        <w:ind w:left="720" w:hanging="720"/>
      </w:pPr>
      <w:rPr>
        <w:rFonts w:asciiTheme="minorHAnsi" w:eastAsiaTheme="minorHAnsi" w:hAnsiTheme="minorHAnsi" w:cstheme="minorHAnsi" w:hint="default"/>
        <w:b/>
      </w:rPr>
    </w:lvl>
    <w:lvl w:ilvl="3">
      <w:start w:val="1"/>
      <w:numFmt w:val="decimal"/>
      <w:isLgl/>
      <w:lvlText w:val="%1.%2.%3.%4."/>
      <w:lvlJc w:val="left"/>
      <w:pPr>
        <w:ind w:left="1080" w:hanging="1080"/>
      </w:pPr>
      <w:rPr>
        <w:rFonts w:asciiTheme="minorHAnsi" w:eastAsiaTheme="minorHAnsi" w:hAnsiTheme="minorHAnsi" w:cstheme="minorHAnsi" w:hint="default"/>
      </w:rPr>
    </w:lvl>
    <w:lvl w:ilvl="4">
      <w:start w:val="1"/>
      <w:numFmt w:val="decimal"/>
      <w:isLgl/>
      <w:lvlText w:val="%1.%2.%3.%4.%5."/>
      <w:lvlJc w:val="left"/>
      <w:pPr>
        <w:ind w:left="1080" w:hanging="1080"/>
      </w:pPr>
      <w:rPr>
        <w:rFonts w:asciiTheme="minorHAnsi" w:eastAsiaTheme="minorHAnsi" w:hAnsiTheme="minorHAnsi" w:cstheme="minorHAnsi" w:hint="default"/>
      </w:rPr>
    </w:lvl>
    <w:lvl w:ilvl="5">
      <w:start w:val="1"/>
      <w:numFmt w:val="decimal"/>
      <w:isLgl/>
      <w:lvlText w:val="%1.%2.%3.%4.%5.%6."/>
      <w:lvlJc w:val="left"/>
      <w:pPr>
        <w:ind w:left="1440" w:hanging="1440"/>
      </w:pPr>
      <w:rPr>
        <w:rFonts w:asciiTheme="minorHAnsi" w:eastAsiaTheme="minorHAnsi" w:hAnsiTheme="minorHAnsi" w:cstheme="minorHAnsi" w:hint="default"/>
      </w:rPr>
    </w:lvl>
    <w:lvl w:ilvl="6">
      <w:start w:val="1"/>
      <w:numFmt w:val="decimal"/>
      <w:isLgl/>
      <w:lvlText w:val="%1.%2.%3.%4.%5.%6.%7."/>
      <w:lvlJc w:val="left"/>
      <w:pPr>
        <w:ind w:left="1440" w:hanging="1440"/>
      </w:pPr>
      <w:rPr>
        <w:rFonts w:asciiTheme="minorHAnsi" w:eastAsiaTheme="minorHAnsi" w:hAnsiTheme="minorHAnsi" w:cstheme="minorHAnsi" w:hint="default"/>
      </w:rPr>
    </w:lvl>
    <w:lvl w:ilvl="7">
      <w:start w:val="1"/>
      <w:numFmt w:val="decimal"/>
      <w:isLgl/>
      <w:lvlText w:val="%1.%2.%3.%4.%5.%6.%7.%8."/>
      <w:lvlJc w:val="left"/>
      <w:pPr>
        <w:ind w:left="1800" w:hanging="1800"/>
      </w:pPr>
      <w:rPr>
        <w:rFonts w:asciiTheme="minorHAnsi" w:eastAsiaTheme="minorHAnsi" w:hAnsiTheme="minorHAnsi" w:cstheme="minorHAnsi" w:hint="default"/>
      </w:rPr>
    </w:lvl>
    <w:lvl w:ilvl="8">
      <w:start w:val="1"/>
      <w:numFmt w:val="decimal"/>
      <w:isLgl/>
      <w:lvlText w:val="%1.%2.%3.%4.%5.%6.%7.%8.%9."/>
      <w:lvlJc w:val="left"/>
      <w:pPr>
        <w:ind w:left="2160" w:hanging="2160"/>
      </w:pPr>
      <w:rPr>
        <w:rFonts w:asciiTheme="minorHAnsi" w:eastAsiaTheme="minorHAnsi" w:hAnsiTheme="minorHAnsi" w:cstheme="minorHAnsi" w:hint="default"/>
      </w:rPr>
    </w:lvl>
  </w:abstractNum>
  <w:abstractNum w:abstractNumId="13" w15:restartNumberingAfterBreak="0">
    <w:nsid w:val="2E4F3DC0"/>
    <w:multiLevelType w:val="multilevel"/>
    <w:tmpl w:val="8BD620CC"/>
    <w:lvl w:ilvl="0">
      <w:start w:val="3"/>
      <w:numFmt w:val="decimal"/>
      <w:lvlText w:val="%1."/>
      <w:lvlJc w:val="left"/>
      <w:pPr>
        <w:ind w:left="360" w:hanging="360"/>
      </w:pPr>
      <w:rPr>
        <w:rFonts w:hint="default"/>
        <w:b/>
      </w:rPr>
    </w:lvl>
    <w:lvl w:ilvl="1">
      <w:start w:val="1"/>
      <w:numFmt w:val="decimal"/>
      <w:isLgl/>
      <w:lvlText w:val="%1.%2."/>
      <w:lvlJc w:val="left"/>
      <w:pPr>
        <w:ind w:left="420" w:hanging="360"/>
      </w:pPr>
      <w:rPr>
        <w:rFonts w:cs="Franklin Gothic Book" w:hint="default"/>
        <w:b/>
        <w:color w:val="000000"/>
      </w:rPr>
    </w:lvl>
    <w:lvl w:ilvl="2">
      <w:start w:val="1"/>
      <w:numFmt w:val="decimal"/>
      <w:isLgl/>
      <w:lvlText w:val="%1.%2.%3."/>
      <w:lvlJc w:val="left"/>
      <w:pPr>
        <w:ind w:left="840" w:hanging="720"/>
      </w:pPr>
      <w:rPr>
        <w:rFonts w:cs="Franklin Gothic Book" w:hint="default"/>
        <w:color w:val="000000"/>
      </w:rPr>
    </w:lvl>
    <w:lvl w:ilvl="3">
      <w:start w:val="1"/>
      <w:numFmt w:val="decimal"/>
      <w:isLgl/>
      <w:lvlText w:val="%1.%2.%3.%4."/>
      <w:lvlJc w:val="left"/>
      <w:pPr>
        <w:ind w:left="900" w:hanging="720"/>
      </w:pPr>
      <w:rPr>
        <w:rFonts w:cs="Franklin Gothic Book" w:hint="default"/>
        <w:color w:val="000000"/>
      </w:rPr>
    </w:lvl>
    <w:lvl w:ilvl="4">
      <w:start w:val="1"/>
      <w:numFmt w:val="decimal"/>
      <w:isLgl/>
      <w:lvlText w:val="%1.%2.%3.%4.%5."/>
      <w:lvlJc w:val="left"/>
      <w:pPr>
        <w:ind w:left="1320" w:hanging="1080"/>
      </w:pPr>
      <w:rPr>
        <w:rFonts w:cs="Franklin Gothic Book" w:hint="default"/>
        <w:color w:val="000000"/>
      </w:rPr>
    </w:lvl>
    <w:lvl w:ilvl="5">
      <w:start w:val="1"/>
      <w:numFmt w:val="decimal"/>
      <w:isLgl/>
      <w:lvlText w:val="%1.%2.%3.%4.%5.%6."/>
      <w:lvlJc w:val="left"/>
      <w:pPr>
        <w:ind w:left="1380" w:hanging="1080"/>
      </w:pPr>
      <w:rPr>
        <w:rFonts w:cs="Franklin Gothic Book" w:hint="default"/>
        <w:color w:val="000000"/>
      </w:rPr>
    </w:lvl>
    <w:lvl w:ilvl="6">
      <w:start w:val="1"/>
      <w:numFmt w:val="decimal"/>
      <w:isLgl/>
      <w:lvlText w:val="%1.%2.%3.%4.%5.%6.%7."/>
      <w:lvlJc w:val="left"/>
      <w:pPr>
        <w:ind w:left="1800" w:hanging="1440"/>
      </w:pPr>
      <w:rPr>
        <w:rFonts w:cs="Franklin Gothic Book" w:hint="default"/>
        <w:color w:val="000000"/>
      </w:rPr>
    </w:lvl>
    <w:lvl w:ilvl="7">
      <w:start w:val="1"/>
      <w:numFmt w:val="decimal"/>
      <w:isLgl/>
      <w:lvlText w:val="%1.%2.%3.%4.%5.%6.%7.%8."/>
      <w:lvlJc w:val="left"/>
      <w:pPr>
        <w:ind w:left="1860" w:hanging="1440"/>
      </w:pPr>
      <w:rPr>
        <w:rFonts w:cs="Franklin Gothic Book" w:hint="default"/>
        <w:color w:val="000000"/>
      </w:rPr>
    </w:lvl>
    <w:lvl w:ilvl="8">
      <w:start w:val="1"/>
      <w:numFmt w:val="decimal"/>
      <w:isLgl/>
      <w:lvlText w:val="%1.%2.%3.%4.%5.%6.%7.%8.%9."/>
      <w:lvlJc w:val="left"/>
      <w:pPr>
        <w:ind w:left="2280" w:hanging="1800"/>
      </w:pPr>
      <w:rPr>
        <w:rFonts w:cs="Franklin Gothic Book" w:hint="default"/>
        <w:color w:val="000000"/>
      </w:rPr>
    </w:lvl>
  </w:abstractNum>
  <w:abstractNum w:abstractNumId="14" w15:restartNumberingAfterBreak="0">
    <w:nsid w:val="319D17A7"/>
    <w:multiLevelType w:val="multilevel"/>
    <w:tmpl w:val="91C233C8"/>
    <w:lvl w:ilvl="0">
      <w:start w:val="4"/>
      <w:numFmt w:val="decimal"/>
      <w:lvlText w:val="%1."/>
      <w:lvlJc w:val="left"/>
      <w:pPr>
        <w:ind w:left="360" w:hanging="360"/>
      </w:pPr>
      <w:rPr>
        <w:rFonts w:hint="default"/>
        <w:b/>
      </w:rPr>
    </w:lvl>
    <w:lvl w:ilvl="1">
      <w:start w:val="1"/>
      <w:numFmt w:val="decimal"/>
      <w:isLgl/>
      <w:lvlText w:val="%1.%2."/>
      <w:lvlJc w:val="left"/>
      <w:pPr>
        <w:ind w:left="420" w:hanging="360"/>
      </w:pPr>
      <w:rPr>
        <w:rFonts w:cs="Franklin Gothic Book" w:hint="default"/>
        <w:b/>
        <w:color w:val="000000"/>
      </w:rPr>
    </w:lvl>
    <w:lvl w:ilvl="2">
      <w:start w:val="1"/>
      <w:numFmt w:val="decimal"/>
      <w:isLgl/>
      <w:lvlText w:val="%1.%2.%3."/>
      <w:lvlJc w:val="left"/>
      <w:pPr>
        <w:ind w:left="840" w:hanging="720"/>
      </w:pPr>
      <w:rPr>
        <w:rFonts w:cs="Franklin Gothic Book" w:hint="default"/>
        <w:color w:val="000000"/>
      </w:rPr>
    </w:lvl>
    <w:lvl w:ilvl="3">
      <w:start w:val="1"/>
      <w:numFmt w:val="decimal"/>
      <w:isLgl/>
      <w:lvlText w:val="%1.%2.%3.%4."/>
      <w:lvlJc w:val="left"/>
      <w:pPr>
        <w:ind w:left="900" w:hanging="720"/>
      </w:pPr>
      <w:rPr>
        <w:rFonts w:cs="Franklin Gothic Book" w:hint="default"/>
        <w:color w:val="000000"/>
      </w:rPr>
    </w:lvl>
    <w:lvl w:ilvl="4">
      <w:start w:val="1"/>
      <w:numFmt w:val="decimal"/>
      <w:isLgl/>
      <w:lvlText w:val="%1.%2.%3.%4.%5."/>
      <w:lvlJc w:val="left"/>
      <w:pPr>
        <w:ind w:left="1320" w:hanging="1080"/>
      </w:pPr>
      <w:rPr>
        <w:rFonts w:cs="Franklin Gothic Book" w:hint="default"/>
        <w:color w:val="000000"/>
      </w:rPr>
    </w:lvl>
    <w:lvl w:ilvl="5">
      <w:start w:val="1"/>
      <w:numFmt w:val="decimal"/>
      <w:isLgl/>
      <w:lvlText w:val="%1.%2.%3.%4.%5.%6."/>
      <w:lvlJc w:val="left"/>
      <w:pPr>
        <w:ind w:left="1380" w:hanging="1080"/>
      </w:pPr>
      <w:rPr>
        <w:rFonts w:cs="Franklin Gothic Book" w:hint="default"/>
        <w:color w:val="000000"/>
      </w:rPr>
    </w:lvl>
    <w:lvl w:ilvl="6">
      <w:start w:val="1"/>
      <w:numFmt w:val="decimal"/>
      <w:isLgl/>
      <w:lvlText w:val="%1.%2.%3.%4.%5.%6.%7."/>
      <w:lvlJc w:val="left"/>
      <w:pPr>
        <w:ind w:left="1800" w:hanging="1440"/>
      </w:pPr>
      <w:rPr>
        <w:rFonts w:cs="Franklin Gothic Book" w:hint="default"/>
        <w:color w:val="000000"/>
      </w:rPr>
    </w:lvl>
    <w:lvl w:ilvl="7">
      <w:start w:val="1"/>
      <w:numFmt w:val="decimal"/>
      <w:isLgl/>
      <w:lvlText w:val="%1.%2.%3.%4.%5.%6.%7.%8."/>
      <w:lvlJc w:val="left"/>
      <w:pPr>
        <w:ind w:left="1860" w:hanging="1440"/>
      </w:pPr>
      <w:rPr>
        <w:rFonts w:cs="Franklin Gothic Book" w:hint="default"/>
        <w:color w:val="000000"/>
      </w:rPr>
    </w:lvl>
    <w:lvl w:ilvl="8">
      <w:start w:val="1"/>
      <w:numFmt w:val="decimal"/>
      <w:isLgl/>
      <w:lvlText w:val="%1.%2.%3.%4.%5.%6.%7.%8.%9."/>
      <w:lvlJc w:val="left"/>
      <w:pPr>
        <w:ind w:left="2280" w:hanging="1800"/>
      </w:pPr>
      <w:rPr>
        <w:rFonts w:cs="Franklin Gothic Book" w:hint="default"/>
        <w:color w:val="000000"/>
      </w:rPr>
    </w:lvl>
  </w:abstractNum>
  <w:abstractNum w:abstractNumId="15" w15:restartNumberingAfterBreak="0">
    <w:nsid w:val="375F7749"/>
    <w:multiLevelType w:val="hybridMultilevel"/>
    <w:tmpl w:val="1896B6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A84E6E"/>
    <w:multiLevelType w:val="hybridMultilevel"/>
    <w:tmpl w:val="A270219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7" w15:restartNumberingAfterBreak="0">
    <w:nsid w:val="3C345CF2"/>
    <w:multiLevelType w:val="hybridMultilevel"/>
    <w:tmpl w:val="FAA6556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3E3C4A85"/>
    <w:multiLevelType w:val="hybridMultilevel"/>
    <w:tmpl w:val="A5F419FE"/>
    <w:lvl w:ilvl="0" w:tplc="140A0001">
      <w:start w:val="1"/>
      <w:numFmt w:val="bullet"/>
      <w:lvlText w:val=""/>
      <w:lvlJc w:val="left"/>
      <w:pPr>
        <w:ind w:left="720" w:hanging="360"/>
      </w:pPr>
      <w:rPr>
        <w:rFonts w:ascii="Symbol" w:hAnsi="Symbol" w:hint="default"/>
      </w:rPr>
    </w:lvl>
    <w:lvl w:ilvl="1" w:tplc="9DB2558A">
      <w:start w:val="1"/>
      <w:numFmt w:val="lowerLetter"/>
      <w:lvlText w:val="%2)"/>
      <w:lvlJc w:val="left"/>
      <w:pPr>
        <w:ind w:left="1440" w:hanging="360"/>
      </w:pPr>
      <w:rPr>
        <w:rFonts w:hint="default"/>
        <w:b/>
        <w:bCs w:val="0"/>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0245DCF"/>
    <w:multiLevelType w:val="hybridMultilevel"/>
    <w:tmpl w:val="23D27284"/>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0" w15:restartNumberingAfterBreak="0">
    <w:nsid w:val="42347E2E"/>
    <w:multiLevelType w:val="hybridMultilevel"/>
    <w:tmpl w:val="EFCACF2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480F1A63"/>
    <w:multiLevelType w:val="hybridMultilevel"/>
    <w:tmpl w:val="5D14563A"/>
    <w:lvl w:ilvl="0" w:tplc="C0B46FB2">
      <w:start w:val="2020"/>
      <w:numFmt w:val="decimal"/>
      <w:lvlText w:val="%1"/>
      <w:lvlJc w:val="left"/>
      <w:pPr>
        <w:ind w:left="840" w:hanging="48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86A5DC7"/>
    <w:multiLevelType w:val="hybridMultilevel"/>
    <w:tmpl w:val="9246024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A79490F"/>
    <w:multiLevelType w:val="hybridMultilevel"/>
    <w:tmpl w:val="CB4E2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DCC4195"/>
    <w:multiLevelType w:val="hybridMultilevel"/>
    <w:tmpl w:val="1AAA54D6"/>
    <w:lvl w:ilvl="0" w:tplc="0B0620D0">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start w:val="1"/>
      <w:numFmt w:val="bullet"/>
      <w:lvlText w:val=""/>
      <w:lvlJc w:val="left"/>
      <w:pPr>
        <w:tabs>
          <w:tab w:val="num" w:pos="2865"/>
        </w:tabs>
        <w:ind w:left="2865" w:hanging="360"/>
      </w:pPr>
      <w:rPr>
        <w:rFonts w:ascii="Wingdings" w:hAnsi="Wingdings" w:hint="default"/>
      </w:rPr>
    </w:lvl>
    <w:lvl w:ilvl="3" w:tplc="0C0A0001">
      <w:start w:val="1"/>
      <w:numFmt w:val="bullet"/>
      <w:lvlText w:val=""/>
      <w:lvlJc w:val="left"/>
      <w:pPr>
        <w:tabs>
          <w:tab w:val="num" w:pos="3585"/>
        </w:tabs>
        <w:ind w:left="3585" w:hanging="360"/>
      </w:pPr>
      <w:rPr>
        <w:rFonts w:ascii="Symbol" w:hAnsi="Symbol" w:hint="default"/>
      </w:rPr>
    </w:lvl>
    <w:lvl w:ilvl="4" w:tplc="0C0A0003">
      <w:start w:val="1"/>
      <w:numFmt w:val="bullet"/>
      <w:lvlText w:val="o"/>
      <w:lvlJc w:val="left"/>
      <w:pPr>
        <w:tabs>
          <w:tab w:val="num" w:pos="4305"/>
        </w:tabs>
        <w:ind w:left="4305" w:hanging="360"/>
      </w:pPr>
      <w:rPr>
        <w:rFonts w:ascii="Courier New" w:hAnsi="Courier New" w:cs="Courier New" w:hint="default"/>
      </w:rPr>
    </w:lvl>
    <w:lvl w:ilvl="5" w:tplc="0C0A0005">
      <w:start w:val="1"/>
      <w:numFmt w:val="bullet"/>
      <w:lvlText w:val=""/>
      <w:lvlJc w:val="left"/>
      <w:pPr>
        <w:tabs>
          <w:tab w:val="num" w:pos="5025"/>
        </w:tabs>
        <w:ind w:left="5025" w:hanging="360"/>
      </w:pPr>
      <w:rPr>
        <w:rFonts w:ascii="Wingdings" w:hAnsi="Wingdings" w:hint="default"/>
      </w:rPr>
    </w:lvl>
    <w:lvl w:ilvl="6" w:tplc="0C0A0001">
      <w:start w:val="1"/>
      <w:numFmt w:val="bullet"/>
      <w:lvlText w:val=""/>
      <w:lvlJc w:val="left"/>
      <w:pPr>
        <w:tabs>
          <w:tab w:val="num" w:pos="5745"/>
        </w:tabs>
        <w:ind w:left="5745" w:hanging="360"/>
      </w:pPr>
      <w:rPr>
        <w:rFonts w:ascii="Symbol" w:hAnsi="Symbol" w:hint="default"/>
      </w:rPr>
    </w:lvl>
    <w:lvl w:ilvl="7" w:tplc="0C0A0003">
      <w:start w:val="1"/>
      <w:numFmt w:val="bullet"/>
      <w:lvlText w:val="o"/>
      <w:lvlJc w:val="left"/>
      <w:pPr>
        <w:tabs>
          <w:tab w:val="num" w:pos="6465"/>
        </w:tabs>
        <w:ind w:left="6465" w:hanging="360"/>
      </w:pPr>
      <w:rPr>
        <w:rFonts w:ascii="Courier New" w:hAnsi="Courier New" w:cs="Courier New" w:hint="default"/>
      </w:rPr>
    </w:lvl>
    <w:lvl w:ilvl="8" w:tplc="0C0A0005">
      <w:start w:val="1"/>
      <w:numFmt w:val="bullet"/>
      <w:lvlText w:val=""/>
      <w:lvlJc w:val="left"/>
      <w:pPr>
        <w:tabs>
          <w:tab w:val="num" w:pos="7185"/>
        </w:tabs>
        <w:ind w:left="7185" w:hanging="360"/>
      </w:pPr>
      <w:rPr>
        <w:rFonts w:ascii="Wingdings" w:hAnsi="Wingdings" w:hint="default"/>
      </w:rPr>
    </w:lvl>
  </w:abstractNum>
  <w:abstractNum w:abstractNumId="27" w15:restartNumberingAfterBreak="0">
    <w:nsid w:val="54494180"/>
    <w:multiLevelType w:val="hybridMultilevel"/>
    <w:tmpl w:val="06D0B75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4881FAB"/>
    <w:multiLevelType w:val="multilevel"/>
    <w:tmpl w:val="EF82CC86"/>
    <w:lvl w:ilvl="0">
      <w:start w:val="1"/>
      <w:numFmt w:val="decimal"/>
      <w:lvlText w:val="%1."/>
      <w:lvlJc w:val="left"/>
      <w:pPr>
        <w:ind w:left="780" w:hanging="360"/>
      </w:pPr>
      <w:rPr>
        <w:rFonts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9" w15:restartNumberingAfterBreak="0">
    <w:nsid w:val="581033C1"/>
    <w:multiLevelType w:val="multilevel"/>
    <w:tmpl w:val="3D5A26EE"/>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15:restartNumberingAfterBreak="0">
    <w:nsid w:val="5AAB0F73"/>
    <w:multiLevelType w:val="hybridMultilevel"/>
    <w:tmpl w:val="E760137A"/>
    <w:lvl w:ilvl="0" w:tplc="140A0001">
      <w:start w:val="1"/>
      <w:numFmt w:val="bullet"/>
      <w:lvlText w:val=""/>
      <w:lvlJc w:val="left"/>
      <w:pPr>
        <w:ind w:left="770" w:hanging="360"/>
      </w:pPr>
      <w:rPr>
        <w:rFonts w:ascii="Symbol" w:hAnsi="Symbol" w:hint="default"/>
      </w:rPr>
    </w:lvl>
    <w:lvl w:ilvl="1" w:tplc="140A0003" w:tentative="1">
      <w:start w:val="1"/>
      <w:numFmt w:val="bullet"/>
      <w:lvlText w:val="o"/>
      <w:lvlJc w:val="left"/>
      <w:pPr>
        <w:ind w:left="1490" w:hanging="360"/>
      </w:pPr>
      <w:rPr>
        <w:rFonts w:ascii="Courier New" w:hAnsi="Courier New" w:cs="Courier New" w:hint="default"/>
      </w:rPr>
    </w:lvl>
    <w:lvl w:ilvl="2" w:tplc="140A0005" w:tentative="1">
      <w:start w:val="1"/>
      <w:numFmt w:val="bullet"/>
      <w:lvlText w:val=""/>
      <w:lvlJc w:val="left"/>
      <w:pPr>
        <w:ind w:left="2210" w:hanging="360"/>
      </w:pPr>
      <w:rPr>
        <w:rFonts w:ascii="Wingdings" w:hAnsi="Wingdings" w:hint="default"/>
      </w:rPr>
    </w:lvl>
    <w:lvl w:ilvl="3" w:tplc="140A0001" w:tentative="1">
      <w:start w:val="1"/>
      <w:numFmt w:val="bullet"/>
      <w:lvlText w:val=""/>
      <w:lvlJc w:val="left"/>
      <w:pPr>
        <w:ind w:left="2930" w:hanging="360"/>
      </w:pPr>
      <w:rPr>
        <w:rFonts w:ascii="Symbol" w:hAnsi="Symbol" w:hint="default"/>
      </w:rPr>
    </w:lvl>
    <w:lvl w:ilvl="4" w:tplc="140A0003" w:tentative="1">
      <w:start w:val="1"/>
      <w:numFmt w:val="bullet"/>
      <w:lvlText w:val="o"/>
      <w:lvlJc w:val="left"/>
      <w:pPr>
        <w:ind w:left="3650" w:hanging="360"/>
      </w:pPr>
      <w:rPr>
        <w:rFonts w:ascii="Courier New" w:hAnsi="Courier New" w:cs="Courier New" w:hint="default"/>
      </w:rPr>
    </w:lvl>
    <w:lvl w:ilvl="5" w:tplc="140A0005" w:tentative="1">
      <w:start w:val="1"/>
      <w:numFmt w:val="bullet"/>
      <w:lvlText w:val=""/>
      <w:lvlJc w:val="left"/>
      <w:pPr>
        <w:ind w:left="4370" w:hanging="360"/>
      </w:pPr>
      <w:rPr>
        <w:rFonts w:ascii="Wingdings" w:hAnsi="Wingdings" w:hint="default"/>
      </w:rPr>
    </w:lvl>
    <w:lvl w:ilvl="6" w:tplc="140A0001" w:tentative="1">
      <w:start w:val="1"/>
      <w:numFmt w:val="bullet"/>
      <w:lvlText w:val=""/>
      <w:lvlJc w:val="left"/>
      <w:pPr>
        <w:ind w:left="5090" w:hanging="360"/>
      </w:pPr>
      <w:rPr>
        <w:rFonts w:ascii="Symbol" w:hAnsi="Symbol" w:hint="default"/>
      </w:rPr>
    </w:lvl>
    <w:lvl w:ilvl="7" w:tplc="140A0003" w:tentative="1">
      <w:start w:val="1"/>
      <w:numFmt w:val="bullet"/>
      <w:lvlText w:val="o"/>
      <w:lvlJc w:val="left"/>
      <w:pPr>
        <w:ind w:left="5810" w:hanging="360"/>
      </w:pPr>
      <w:rPr>
        <w:rFonts w:ascii="Courier New" w:hAnsi="Courier New" w:cs="Courier New" w:hint="default"/>
      </w:rPr>
    </w:lvl>
    <w:lvl w:ilvl="8" w:tplc="140A0005" w:tentative="1">
      <w:start w:val="1"/>
      <w:numFmt w:val="bullet"/>
      <w:lvlText w:val=""/>
      <w:lvlJc w:val="left"/>
      <w:pPr>
        <w:ind w:left="6530" w:hanging="360"/>
      </w:pPr>
      <w:rPr>
        <w:rFonts w:ascii="Wingdings" w:hAnsi="Wingdings" w:hint="default"/>
      </w:rPr>
    </w:lvl>
  </w:abstractNum>
  <w:abstractNum w:abstractNumId="31" w15:restartNumberingAfterBreak="0">
    <w:nsid w:val="5B42436E"/>
    <w:multiLevelType w:val="hybridMultilevel"/>
    <w:tmpl w:val="4E2694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DFB405F"/>
    <w:multiLevelType w:val="hybridMultilevel"/>
    <w:tmpl w:val="1100B3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04B776F"/>
    <w:multiLevelType w:val="hybridMultilevel"/>
    <w:tmpl w:val="1EDA17AC"/>
    <w:lvl w:ilvl="0" w:tplc="A2F2D0E2">
      <w:start w:val="1"/>
      <w:numFmt w:val="decimal"/>
      <w:lvlText w:val="%1."/>
      <w:lvlJc w:val="left"/>
      <w:pPr>
        <w:ind w:left="720" w:hanging="360"/>
      </w:pPr>
      <w:rPr>
        <w:rFonts w:hint="default"/>
        <w:b/>
        <w:b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0C667D6"/>
    <w:multiLevelType w:val="hybridMultilevel"/>
    <w:tmpl w:val="70389A0A"/>
    <w:lvl w:ilvl="0" w:tplc="11F6562C">
      <w:start w:val="1"/>
      <w:numFmt w:val="decimal"/>
      <w:lvlText w:val="%1."/>
      <w:lvlJc w:val="left"/>
      <w:pPr>
        <w:ind w:left="360" w:hanging="360"/>
      </w:pPr>
      <w:rPr>
        <w:rFonts w:hint="default"/>
        <w:b/>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612C2B56"/>
    <w:multiLevelType w:val="hybridMultilevel"/>
    <w:tmpl w:val="E4529C1A"/>
    <w:lvl w:ilvl="0" w:tplc="64B84358">
      <w:start w:val="1"/>
      <w:numFmt w:val="bullet"/>
      <w:lvlText w:val=""/>
      <w:lvlJc w:val="left"/>
      <w:pPr>
        <w:ind w:left="360" w:hanging="360"/>
      </w:pPr>
      <w:rPr>
        <w:rFonts w:ascii="Symbol" w:hAnsi="Symbol" w:hint="default"/>
        <w:b/>
        <w:color w:val="auto"/>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6" w15:restartNumberingAfterBreak="0">
    <w:nsid w:val="61C17669"/>
    <w:multiLevelType w:val="multilevel"/>
    <w:tmpl w:val="2700B960"/>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BC6832"/>
    <w:multiLevelType w:val="hybridMultilevel"/>
    <w:tmpl w:val="24564F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A5A3A70"/>
    <w:multiLevelType w:val="multilevel"/>
    <w:tmpl w:val="EF82CC86"/>
    <w:lvl w:ilvl="0">
      <w:start w:val="1"/>
      <w:numFmt w:val="decimal"/>
      <w:lvlText w:val="%1."/>
      <w:lvlJc w:val="left"/>
      <w:pPr>
        <w:ind w:left="780" w:hanging="360"/>
      </w:pPr>
      <w:rPr>
        <w:rFonts w:hint="default"/>
      </w:rPr>
    </w:lvl>
    <w:lvl w:ilvl="1">
      <w:start w:val="2"/>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9" w15:restartNumberingAfterBreak="0">
    <w:nsid w:val="6B607ED0"/>
    <w:multiLevelType w:val="hybridMultilevel"/>
    <w:tmpl w:val="9D6229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D687906"/>
    <w:multiLevelType w:val="hybridMultilevel"/>
    <w:tmpl w:val="996C3736"/>
    <w:lvl w:ilvl="0" w:tplc="140A0001">
      <w:start w:val="1"/>
      <w:numFmt w:val="bullet"/>
      <w:lvlText w:val=""/>
      <w:lvlJc w:val="left"/>
      <w:pPr>
        <w:ind w:left="720" w:hanging="360"/>
      </w:pPr>
      <w:rPr>
        <w:rFonts w:ascii="Symbol" w:hAnsi="Symbol" w:hint="default"/>
      </w:rPr>
    </w:lvl>
    <w:lvl w:ilvl="1" w:tplc="5E36A904">
      <w:numFmt w:val="bullet"/>
      <w:lvlText w:val="•"/>
      <w:lvlJc w:val="left"/>
      <w:pPr>
        <w:ind w:left="1786" w:hanging="706"/>
      </w:pPr>
      <w:rPr>
        <w:rFonts w:ascii="Cambria" w:eastAsia="Times New Roman" w:hAnsi="Cambria"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D6F030C"/>
    <w:multiLevelType w:val="hybridMultilevel"/>
    <w:tmpl w:val="886AD4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0680D93"/>
    <w:multiLevelType w:val="hybridMultilevel"/>
    <w:tmpl w:val="83AE4D5E"/>
    <w:lvl w:ilvl="0" w:tplc="0C0A0011">
      <w:start w:val="1"/>
      <w:numFmt w:val="decimal"/>
      <w:lvlText w:val="%1)"/>
      <w:lvlJc w:val="left"/>
      <w:pPr>
        <w:ind w:left="720" w:hanging="360"/>
      </w:pPr>
    </w:lvl>
    <w:lvl w:ilvl="1" w:tplc="87962AFA">
      <w:start w:val="1"/>
      <w:numFmt w:val="decimal"/>
      <w:lvlText w:val="%2)"/>
      <w:lvlJc w:val="left"/>
      <w:pPr>
        <w:ind w:left="1440" w:hanging="360"/>
      </w:pPr>
      <w:rPr>
        <w:b/>
        <w:b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16B5617"/>
    <w:multiLevelType w:val="hybridMultilevel"/>
    <w:tmpl w:val="8D02123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2172284"/>
    <w:multiLevelType w:val="hybridMultilevel"/>
    <w:tmpl w:val="51E08262"/>
    <w:lvl w:ilvl="0" w:tplc="85E06084">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 w15:restartNumberingAfterBreak="0">
    <w:nsid w:val="77EB3F50"/>
    <w:multiLevelType w:val="hybridMultilevel"/>
    <w:tmpl w:val="3F78706A"/>
    <w:lvl w:ilvl="0" w:tplc="03E24F36">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B2F059B"/>
    <w:multiLevelType w:val="multilevel"/>
    <w:tmpl w:val="A094C7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inorHAnsi" w:eastAsiaTheme="minorHAnsi" w:hAnsiTheme="minorHAnsi" w:cstheme="minorHAnsi" w:hint="default"/>
        <w:b/>
      </w:rPr>
    </w:lvl>
    <w:lvl w:ilvl="2">
      <w:start w:val="1"/>
      <w:numFmt w:val="decimal"/>
      <w:isLgl/>
      <w:lvlText w:val="%1.%2.%3."/>
      <w:lvlJc w:val="left"/>
      <w:pPr>
        <w:ind w:left="720" w:hanging="720"/>
      </w:pPr>
      <w:rPr>
        <w:rFonts w:asciiTheme="minorHAnsi" w:eastAsiaTheme="minorHAnsi" w:hAnsiTheme="minorHAnsi" w:cstheme="minorHAnsi" w:hint="default"/>
        <w:b/>
      </w:rPr>
    </w:lvl>
    <w:lvl w:ilvl="3">
      <w:start w:val="1"/>
      <w:numFmt w:val="decimal"/>
      <w:isLgl/>
      <w:lvlText w:val="%1.%2.%3.%4."/>
      <w:lvlJc w:val="left"/>
      <w:pPr>
        <w:ind w:left="1080" w:hanging="1080"/>
      </w:pPr>
      <w:rPr>
        <w:rFonts w:asciiTheme="minorHAnsi" w:eastAsiaTheme="minorHAnsi" w:hAnsiTheme="minorHAnsi" w:cstheme="minorHAnsi" w:hint="default"/>
      </w:rPr>
    </w:lvl>
    <w:lvl w:ilvl="4">
      <w:start w:val="1"/>
      <w:numFmt w:val="decimal"/>
      <w:isLgl/>
      <w:lvlText w:val="%1.%2.%3.%4.%5."/>
      <w:lvlJc w:val="left"/>
      <w:pPr>
        <w:ind w:left="1080" w:hanging="1080"/>
      </w:pPr>
      <w:rPr>
        <w:rFonts w:asciiTheme="minorHAnsi" w:eastAsiaTheme="minorHAnsi" w:hAnsiTheme="minorHAnsi" w:cstheme="minorHAnsi" w:hint="default"/>
      </w:rPr>
    </w:lvl>
    <w:lvl w:ilvl="5">
      <w:start w:val="1"/>
      <w:numFmt w:val="decimal"/>
      <w:isLgl/>
      <w:lvlText w:val="%1.%2.%3.%4.%5.%6."/>
      <w:lvlJc w:val="left"/>
      <w:pPr>
        <w:ind w:left="1440" w:hanging="1440"/>
      </w:pPr>
      <w:rPr>
        <w:rFonts w:asciiTheme="minorHAnsi" w:eastAsiaTheme="minorHAnsi" w:hAnsiTheme="minorHAnsi" w:cstheme="minorHAnsi" w:hint="default"/>
      </w:rPr>
    </w:lvl>
    <w:lvl w:ilvl="6">
      <w:start w:val="1"/>
      <w:numFmt w:val="decimal"/>
      <w:isLgl/>
      <w:lvlText w:val="%1.%2.%3.%4.%5.%6.%7."/>
      <w:lvlJc w:val="left"/>
      <w:pPr>
        <w:ind w:left="1440" w:hanging="1440"/>
      </w:pPr>
      <w:rPr>
        <w:rFonts w:asciiTheme="minorHAnsi" w:eastAsiaTheme="minorHAnsi" w:hAnsiTheme="minorHAnsi" w:cstheme="minorHAnsi" w:hint="default"/>
      </w:rPr>
    </w:lvl>
    <w:lvl w:ilvl="7">
      <w:start w:val="1"/>
      <w:numFmt w:val="decimal"/>
      <w:isLgl/>
      <w:lvlText w:val="%1.%2.%3.%4.%5.%6.%7.%8."/>
      <w:lvlJc w:val="left"/>
      <w:pPr>
        <w:ind w:left="1800" w:hanging="1800"/>
      </w:pPr>
      <w:rPr>
        <w:rFonts w:asciiTheme="minorHAnsi" w:eastAsiaTheme="minorHAnsi" w:hAnsiTheme="minorHAnsi" w:cstheme="minorHAnsi" w:hint="default"/>
      </w:rPr>
    </w:lvl>
    <w:lvl w:ilvl="8">
      <w:start w:val="1"/>
      <w:numFmt w:val="decimal"/>
      <w:isLgl/>
      <w:lvlText w:val="%1.%2.%3.%4.%5.%6.%7.%8.%9."/>
      <w:lvlJc w:val="left"/>
      <w:pPr>
        <w:ind w:left="2160" w:hanging="2160"/>
      </w:pPr>
      <w:rPr>
        <w:rFonts w:asciiTheme="minorHAnsi" w:eastAsiaTheme="minorHAnsi" w:hAnsiTheme="minorHAnsi" w:cstheme="minorHAnsi" w:hint="default"/>
      </w:rPr>
    </w:lvl>
  </w:abstractNum>
  <w:abstractNum w:abstractNumId="47" w15:restartNumberingAfterBreak="0">
    <w:nsid w:val="7B971FA4"/>
    <w:multiLevelType w:val="hybridMultilevel"/>
    <w:tmpl w:val="5C94FE5A"/>
    <w:lvl w:ilvl="0" w:tplc="5E7E5CCA">
      <w:start w:val="1"/>
      <w:numFmt w:val="decimal"/>
      <w:lvlText w:val="%1."/>
      <w:lvlJc w:val="left"/>
      <w:pPr>
        <w:ind w:left="72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FC7265"/>
    <w:multiLevelType w:val="hybridMultilevel"/>
    <w:tmpl w:val="F5C66DD6"/>
    <w:lvl w:ilvl="0" w:tplc="134E0E3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60265132">
    <w:abstractNumId w:val="26"/>
  </w:num>
  <w:num w:numId="2" w16cid:durableId="18342496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0580036">
    <w:abstractNumId w:val="24"/>
  </w:num>
  <w:num w:numId="4" w16cid:durableId="828524811">
    <w:abstractNumId w:val="2"/>
  </w:num>
  <w:num w:numId="5" w16cid:durableId="1807889676">
    <w:abstractNumId w:val="34"/>
  </w:num>
  <w:num w:numId="6" w16cid:durableId="1180582236">
    <w:abstractNumId w:val="46"/>
  </w:num>
  <w:num w:numId="7" w16cid:durableId="615403192">
    <w:abstractNumId w:val="12"/>
  </w:num>
  <w:num w:numId="8" w16cid:durableId="648750324">
    <w:abstractNumId w:val="32"/>
  </w:num>
  <w:num w:numId="9" w16cid:durableId="1424181781">
    <w:abstractNumId w:val="3"/>
  </w:num>
  <w:num w:numId="10" w16cid:durableId="1468007814">
    <w:abstractNumId w:val="11"/>
  </w:num>
  <w:num w:numId="11" w16cid:durableId="476067846">
    <w:abstractNumId w:val="7"/>
  </w:num>
  <w:num w:numId="12" w16cid:durableId="224537329">
    <w:abstractNumId w:val="5"/>
  </w:num>
  <w:num w:numId="13" w16cid:durableId="605574058">
    <w:abstractNumId w:val="35"/>
  </w:num>
  <w:num w:numId="14" w16cid:durableId="1843467569">
    <w:abstractNumId w:val="20"/>
  </w:num>
  <w:num w:numId="15" w16cid:durableId="617570407">
    <w:abstractNumId w:val="17"/>
  </w:num>
  <w:num w:numId="16" w16cid:durableId="334262517">
    <w:abstractNumId w:val="9"/>
  </w:num>
  <w:num w:numId="17" w16cid:durableId="889001930">
    <w:abstractNumId w:val="13"/>
  </w:num>
  <w:num w:numId="18" w16cid:durableId="1481921287">
    <w:abstractNumId w:val="36"/>
  </w:num>
  <w:num w:numId="19" w16cid:durableId="2081173739">
    <w:abstractNumId w:val="4"/>
  </w:num>
  <w:num w:numId="20" w16cid:durableId="1461194361">
    <w:abstractNumId w:val="33"/>
  </w:num>
  <w:num w:numId="21" w16cid:durableId="1894269833">
    <w:abstractNumId w:val="39"/>
  </w:num>
  <w:num w:numId="22" w16cid:durableId="698163069">
    <w:abstractNumId w:val="22"/>
  </w:num>
  <w:num w:numId="23" w16cid:durableId="724642479">
    <w:abstractNumId w:val="43"/>
  </w:num>
  <w:num w:numId="24" w16cid:durableId="671027697">
    <w:abstractNumId w:val="41"/>
  </w:num>
  <w:num w:numId="25" w16cid:durableId="1804545578">
    <w:abstractNumId w:val="6"/>
  </w:num>
  <w:num w:numId="26" w16cid:durableId="1159151118">
    <w:abstractNumId w:val="44"/>
  </w:num>
  <w:num w:numId="27" w16cid:durableId="1810514941">
    <w:abstractNumId w:val="48"/>
  </w:num>
  <w:num w:numId="28" w16cid:durableId="2361336">
    <w:abstractNumId w:val="10"/>
  </w:num>
  <w:num w:numId="29" w16cid:durableId="1403481947">
    <w:abstractNumId w:val="19"/>
  </w:num>
  <w:num w:numId="30" w16cid:durableId="1404790554">
    <w:abstractNumId w:val="23"/>
  </w:num>
  <w:num w:numId="31" w16cid:durableId="533152468">
    <w:abstractNumId w:val="25"/>
  </w:num>
  <w:num w:numId="32" w16cid:durableId="126123432">
    <w:abstractNumId w:val="1"/>
  </w:num>
  <w:num w:numId="33" w16cid:durableId="2898031">
    <w:abstractNumId w:val="18"/>
    <w:lvlOverride w:ilvl="0"/>
    <w:lvlOverride w:ilvl="1">
      <w:startOverride w:val="1"/>
    </w:lvlOverride>
    <w:lvlOverride w:ilvl="2"/>
    <w:lvlOverride w:ilvl="3"/>
    <w:lvlOverride w:ilvl="4"/>
    <w:lvlOverride w:ilvl="5"/>
    <w:lvlOverride w:ilvl="6"/>
    <w:lvlOverride w:ilvl="7"/>
    <w:lvlOverride w:ilvl="8"/>
  </w:num>
  <w:num w:numId="34" w16cid:durableId="1598751714">
    <w:abstractNumId w:val="45"/>
  </w:num>
  <w:num w:numId="35" w16cid:durableId="582950995">
    <w:abstractNumId w:val="29"/>
  </w:num>
  <w:num w:numId="36" w16cid:durableId="1426457818">
    <w:abstractNumId w:val="21"/>
  </w:num>
  <w:num w:numId="37" w16cid:durableId="1008947741">
    <w:abstractNumId w:val="27"/>
  </w:num>
  <w:num w:numId="38" w16cid:durableId="1989362079">
    <w:abstractNumId w:val="42"/>
  </w:num>
  <w:num w:numId="39" w16cid:durableId="928730180">
    <w:abstractNumId w:val="14"/>
  </w:num>
  <w:num w:numId="40" w16cid:durableId="610744934">
    <w:abstractNumId w:val="37"/>
  </w:num>
  <w:num w:numId="41" w16cid:durableId="350760030">
    <w:abstractNumId w:val="47"/>
  </w:num>
  <w:num w:numId="42" w16cid:durableId="1230187722">
    <w:abstractNumId w:val="31"/>
  </w:num>
  <w:num w:numId="43" w16cid:durableId="2136635255">
    <w:abstractNumId w:val="40"/>
  </w:num>
  <w:num w:numId="44" w16cid:durableId="1825849161">
    <w:abstractNumId w:val="15"/>
  </w:num>
  <w:num w:numId="45" w16cid:durableId="239943503">
    <w:abstractNumId w:val="16"/>
  </w:num>
  <w:num w:numId="46" w16cid:durableId="20908123">
    <w:abstractNumId w:val="0"/>
  </w:num>
  <w:num w:numId="47" w16cid:durableId="459612263">
    <w:abstractNumId w:val="30"/>
  </w:num>
  <w:num w:numId="48" w16cid:durableId="831287995">
    <w:abstractNumId w:val="28"/>
  </w:num>
  <w:num w:numId="49" w16cid:durableId="38472356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79"/>
    <w:rsid w:val="00010FCF"/>
    <w:rsid w:val="0003471D"/>
    <w:rsid w:val="0006264E"/>
    <w:rsid w:val="000978B0"/>
    <w:rsid w:val="000A1D5B"/>
    <w:rsid w:val="000B3C92"/>
    <w:rsid w:val="000C1588"/>
    <w:rsid w:val="000F3659"/>
    <w:rsid w:val="00102625"/>
    <w:rsid w:val="0010556A"/>
    <w:rsid w:val="0013176A"/>
    <w:rsid w:val="00134844"/>
    <w:rsid w:val="001705E3"/>
    <w:rsid w:val="0018190E"/>
    <w:rsid w:val="00197351"/>
    <w:rsid w:val="001F7D8B"/>
    <w:rsid w:val="002066D9"/>
    <w:rsid w:val="00214634"/>
    <w:rsid w:val="002764F3"/>
    <w:rsid w:val="002C1AB9"/>
    <w:rsid w:val="00303935"/>
    <w:rsid w:val="003074E1"/>
    <w:rsid w:val="00380F87"/>
    <w:rsid w:val="00384D1A"/>
    <w:rsid w:val="00387CCE"/>
    <w:rsid w:val="00453868"/>
    <w:rsid w:val="00472A7B"/>
    <w:rsid w:val="004D4652"/>
    <w:rsid w:val="004E5353"/>
    <w:rsid w:val="004F1E53"/>
    <w:rsid w:val="00561C4D"/>
    <w:rsid w:val="00572BE2"/>
    <w:rsid w:val="00593749"/>
    <w:rsid w:val="0059488F"/>
    <w:rsid w:val="005A2286"/>
    <w:rsid w:val="005A6629"/>
    <w:rsid w:val="005E35CD"/>
    <w:rsid w:val="00637D5E"/>
    <w:rsid w:val="006543E1"/>
    <w:rsid w:val="00663EBE"/>
    <w:rsid w:val="00676E8C"/>
    <w:rsid w:val="00707471"/>
    <w:rsid w:val="00722B15"/>
    <w:rsid w:val="0072723A"/>
    <w:rsid w:val="00731EFA"/>
    <w:rsid w:val="0076019B"/>
    <w:rsid w:val="0076167D"/>
    <w:rsid w:val="00780EC6"/>
    <w:rsid w:val="00790411"/>
    <w:rsid w:val="007B420A"/>
    <w:rsid w:val="007E2573"/>
    <w:rsid w:val="008337E8"/>
    <w:rsid w:val="00854F72"/>
    <w:rsid w:val="00865C73"/>
    <w:rsid w:val="00882EF7"/>
    <w:rsid w:val="008B4C35"/>
    <w:rsid w:val="008B69C4"/>
    <w:rsid w:val="008E78F1"/>
    <w:rsid w:val="00944902"/>
    <w:rsid w:val="00944ABF"/>
    <w:rsid w:val="00982550"/>
    <w:rsid w:val="0099407F"/>
    <w:rsid w:val="0099716D"/>
    <w:rsid w:val="009D2BA6"/>
    <w:rsid w:val="009D582F"/>
    <w:rsid w:val="009E04AB"/>
    <w:rsid w:val="009F2ED9"/>
    <w:rsid w:val="009F627C"/>
    <w:rsid w:val="00A05E79"/>
    <w:rsid w:val="00A153FA"/>
    <w:rsid w:val="00A703E2"/>
    <w:rsid w:val="00A75633"/>
    <w:rsid w:val="00A76A7D"/>
    <w:rsid w:val="00A816BC"/>
    <w:rsid w:val="00B03ACF"/>
    <w:rsid w:val="00B04F96"/>
    <w:rsid w:val="00B4357D"/>
    <w:rsid w:val="00B97836"/>
    <w:rsid w:val="00BA15D5"/>
    <w:rsid w:val="00BA5001"/>
    <w:rsid w:val="00BB2AF7"/>
    <w:rsid w:val="00BB4E7D"/>
    <w:rsid w:val="00BB6D23"/>
    <w:rsid w:val="00C218BC"/>
    <w:rsid w:val="00C52C71"/>
    <w:rsid w:val="00C54761"/>
    <w:rsid w:val="00C71154"/>
    <w:rsid w:val="00C7120E"/>
    <w:rsid w:val="00C907D0"/>
    <w:rsid w:val="00C962FD"/>
    <w:rsid w:val="00CA6E7B"/>
    <w:rsid w:val="00CD42DF"/>
    <w:rsid w:val="00D00E31"/>
    <w:rsid w:val="00D708B2"/>
    <w:rsid w:val="00D71212"/>
    <w:rsid w:val="00D72422"/>
    <w:rsid w:val="00D91AAD"/>
    <w:rsid w:val="00D96A75"/>
    <w:rsid w:val="00D97750"/>
    <w:rsid w:val="00DD63EC"/>
    <w:rsid w:val="00E025C5"/>
    <w:rsid w:val="00E16C07"/>
    <w:rsid w:val="00E210BE"/>
    <w:rsid w:val="00E2392C"/>
    <w:rsid w:val="00E52FDC"/>
    <w:rsid w:val="00E769AB"/>
    <w:rsid w:val="00EB0B46"/>
    <w:rsid w:val="00EE377C"/>
    <w:rsid w:val="00EE6F1C"/>
    <w:rsid w:val="00F00CB2"/>
    <w:rsid w:val="00F3745F"/>
    <w:rsid w:val="00F647DE"/>
    <w:rsid w:val="00F956F6"/>
    <w:rsid w:val="00FB09F4"/>
    <w:rsid w:val="00FB7B95"/>
    <w:rsid w:val="00FB7E5E"/>
    <w:rsid w:val="00FC2011"/>
    <w:rsid w:val="00FF44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E0126"/>
  <w15:chartTrackingRefBased/>
  <w15:docId w15:val="{DB69FD9C-C2EE-4D67-B258-EBA5541A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9F4"/>
  </w:style>
  <w:style w:type="paragraph" w:styleId="Ttulo1">
    <w:name w:val="heading 1"/>
    <w:basedOn w:val="Normal"/>
    <w:next w:val="Normal"/>
    <w:link w:val="Ttulo1Car"/>
    <w:qFormat/>
    <w:rsid w:val="00C7120E"/>
    <w:pPr>
      <w:keepNext/>
      <w:numPr>
        <w:numId w:val="2"/>
      </w:numPr>
      <w:suppressAutoHyphens/>
      <w:snapToGrid w:val="0"/>
      <w:spacing w:before="400" w:after="120" w:line="240" w:lineRule="auto"/>
      <w:jc w:val="both"/>
      <w:outlineLvl w:val="0"/>
    </w:pPr>
    <w:rPr>
      <w:rFonts w:ascii="Arial" w:eastAsia="Times New Roman" w:hAnsi="Arial" w:cs="Times New Roman"/>
      <w:b/>
      <w:kern w:val="28"/>
      <w:sz w:val="24"/>
      <w:szCs w:val="24"/>
      <w:lang w:val="es-ES_tradnl" w:eastAsia="es-ES"/>
    </w:rPr>
  </w:style>
  <w:style w:type="paragraph" w:styleId="Ttulo2">
    <w:name w:val="heading 2"/>
    <w:basedOn w:val="Normal"/>
    <w:next w:val="Normal"/>
    <w:link w:val="Ttulo2Car"/>
    <w:unhideWhenUsed/>
    <w:qFormat/>
    <w:rsid w:val="00C7120E"/>
    <w:pPr>
      <w:keepNext/>
      <w:numPr>
        <w:ilvl w:val="1"/>
        <w:numId w:val="2"/>
      </w:numPr>
      <w:spacing w:before="300" w:after="120" w:line="240" w:lineRule="auto"/>
      <w:ind w:hanging="1483"/>
      <w:jc w:val="both"/>
      <w:outlineLvl w:val="1"/>
    </w:pPr>
    <w:rPr>
      <w:rFonts w:ascii="Arial" w:eastAsia="Times New Roman" w:hAnsi="Arial" w:cs="Times New Roman"/>
      <w:b/>
      <w:szCs w:val="20"/>
      <w:lang w:eastAsia="es-ES"/>
    </w:rPr>
  </w:style>
  <w:style w:type="paragraph" w:styleId="Ttulo3">
    <w:name w:val="heading 3"/>
    <w:basedOn w:val="Normal"/>
    <w:next w:val="Normal"/>
    <w:link w:val="Ttulo3Car"/>
    <w:semiHidden/>
    <w:unhideWhenUsed/>
    <w:qFormat/>
    <w:rsid w:val="00C7120E"/>
    <w:pPr>
      <w:keepNext/>
      <w:numPr>
        <w:ilvl w:val="2"/>
        <w:numId w:val="2"/>
      </w:numPr>
      <w:tabs>
        <w:tab w:val="num" w:pos="2159"/>
      </w:tabs>
      <w:snapToGrid/>
      <w:spacing w:before="240" w:after="120" w:line="240" w:lineRule="auto"/>
      <w:ind w:left="2159" w:hanging="360"/>
      <w:jc w:val="both"/>
      <w:outlineLvl w:val="2"/>
    </w:pPr>
    <w:rPr>
      <w:rFonts w:ascii="Arial" w:eastAsia="Times New Roman" w:hAnsi="Arial" w:cs="Times New Roman"/>
      <w:b/>
      <w:sz w:val="20"/>
      <w:szCs w:val="20"/>
      <w:lang w:val="es-ES_tradnl" w:eastAsia="es-ES"/>
    </w:rPr>
  </w:style>
  <w:style w:type="paragraph" w:styleId="Ttulo4">
    <w:name w:val="heading 4"/>
    <w:basedOn w:val="Normal"/>
    <w:next w:val="Normal"/>
    <w:link w:val="Ttulo4Car"/>
    <w:semiHidden/>
    <w:unhideWhenUsed/>
    <w:qFormat/>
    <w:rsid w:val="00C7120E"/>
    <w:pPr>
      <w:keepNext/>
      <w:numPr>
        <w:ilvl w:val="3"/>
        <w:numId w:val="2"/>
      </w:numPr>
      <w:snapToGrid w:val="0"/>
      <w:spacing w:before="120" w:after="120" w:line="240" w:lineRule="auto"/>
      <w:outlineLvl w:val="3"/>
    </w:pPr>
    <w:rPr>
      <w:rFonts w:ascii="Arial" w:eastAsia="Times New Roman" w:hAnsi="Arial" w:cs="Times New Roman"/>
      <w:b/>
      <w:sz w:val="20"/>
      <w:szCs w:val="20"/>
      <w:lang w:val="es-ES_tradnl" w:eastAsia="es-ES"/>
    </w:rPr>
  </w:style>
  <w:style w:type="paragraph" w:styleId="Ttulo5">
    <w:name w:val="heading 5"/>
    <w:basedOn w:val="Normal"/>
    <w:next w:val="Normal"/>
    <w:link w:val="Ttulo5Car"/>
    <w:autoRedefine/>
    <w:semiHidden/>
    <w:unhideWhenUsed/>
    <w:qFormat/>
    <w:rsid w:val="00C7120E"/>
    <w:pPr>
      <w:numPr>
        <w:ilvl w:val="4"/>
        <w:numId w:val="2"/>
      </w:numPr>
      <w:snapToGrid w:val="0"/>
      <w:spacing w:before="120" w:after="120" w:line="240" w:lineRule="auto"/>
      <w:outlineLvl w:val="4"/>
    </w:pPr>
    <w:rPr>
      <w:rFonts w:ascii="Arial" w:eastAsia="Times New Roman" w:hAnsi="Arial" w:cs="Times New Roman"/>
      <w:b/>
      <w:sz w:val="20"/>
      <w:szCs w:val="20"/>
      <w:lang w:val="es-ES_tradnl" w:eastAsia="es-ES"/>
    </w:rPr>
  </w:style>
  <w:style w:type="paragraph" w:styleId="Ttulo6">
    <w:name w:val="heading 6"/>
    <w:basedOn w:val="Normal"/>
    <w:next w:val="Normal"/>
    <w:link w:val="Ttulo6Car"/>
    <w:semiHidden/>
    <w:unhideWhenUsed/>
    <w:qFormat/>
    <w:rsid w:val="00C7120E"/>
    <w:pPr>
      <w:numPr>
        <w:ilvl w:val="5"/>
        <w:numId w:val="2"/>
      </w:numPr>
      <w:snapToGrid w:val="0"/>
      <w:spacing w:before="120" w:after="120" w:line="240" w:lineRule="auto"/>
      <w:outlineLvl w:val="5"/>
    </w:pPr>
    <w:rPr>
      <w:rFonts w:ascii="Arial" w:eastAsia="Times New Roman" w:hAnsi="Arial" w:cs="Times New Roman"/>
      <w:b/>
      <w:sz w:val="20"/>
      <w:szCs w:val="18"/>
      <w:lang w:val="es-ES_tradnl" w:eastAsia="es-ES"/>
    </w:rPr>
  </w:style>
  <w:style w:type="paragraph" w:styleId="Ttulo7">
    <w:name w:val="heading 7"/>
    <w:basedOn w:val="Normal"/>
    <w:next w:val="Normal"/>
    <w:link w:val="Ttulo7Car"/>
    <w:semiHidden/>
    <w:unhideWhenUsed/>
    <w:qFormat/>
    <w:rsid w:val="00C7120E"/>
    <w:pPr>
      <w:numPr>
        <w:ilvl w:val="6"/>
        <w:numId w:val="2"/>
      </w:numPr>
      <w:snapToGrid w:val="0"/>
      <w:spacing w:before="120" w:after="120" w:line="240" w:lineRule="auto"/>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semiHidden/>
    <w:unhideWhenUsed/>
    <w:qFormat/>
    <w:rsid w:val="00C7120E"/>
    <w:pPr>
      <w:numPr>
        <w:ilvl w:val="7"/>
        <w:numId w:val="2"/>
      </w:numPr>
      <w:snapToGrid w:val="0"/>
      <w:spacing w:before="120" w:after="120" w:line="240" w:lineRule="auto"/>
      <w:outlineLvl w:val="7"/>
    </w:pPr>
    <w:rPr>
      <w:rFonts w:ascii="Arial" w:eastAsia="Times New Roman" w:hAnsi="Arial" w:cs="Times New Roman"/>
      <w:b/>
      <w:sz w:val="20"/>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5E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5E79"/>
  </w:style>
  <w:style w:type="paragraph" w:styleId="Piedepgina">
    <w:name w:val="footer"/>
    <w:basedOn w:val="Normal"/>
    <w:link w:val="PiedepginaCar"/>
    <w:uiPriority w:val="99"/>
    <w:unhideWhenUsed/>
    <w:rsid w:val="00A05E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E79"/>
  </w:style>
  <w:style w:type="character" w:customStyle="1" w:styleId="Ttulo1Car">
    <w:name w:val="Título 1 Car"/>
    <w:basedOn w:val="Fuentedeprrafopredeter"/>
    <w:link w:val="Ttulo1"/>
    <w:rsid w:val="00C7120E"/>
    <w:rPr>
      <w:rFonts w:ascii="Arial" w:eastAsia="Times New Roman" w:hAnsi="Arial" w:cs="Times New Roman"/>
      <w:b/>
      <w:kern w:val="28"/>
      <w:sz w:val="24"/>
      <w:szCs w:val="24"/>
      <w:lang w:val="es-ES_tradnl" w:eastAsia="es-ES"/>
    </w:rPr>
  </w:style>
  <w:style w:type="character" w:customStyle="1" w:styleId="Ttulo2Car">
    <w:name w:val="Título 2 Car"/>
    <w:basedOn w:val="Fuentedeprrafopredeter"/>
    <w:link w:val="Ttulo2"/>
    <w:rsid w:val="00C7120E"/>
    <w:rPr>
      <w:rFonts w:ascii="Arial" w:eastAsia="Times New Roman" w:hAnsi="Arial" w:cs="Times New Roman"/>
      <w:b/>
      <w:szCs w:val="20"/>
      <w:lang w:eastAsia="es-ES"/>
    </w:rPr>
  </w:style>
  <w:style w:type="character" w:customStyle="1" w:styleId="Ttulo3Car">
    <w:name w:val="Título 3 Car"/>
    <w:basedOn w:val="Fuentedeprrafopredeter"/>
    <w:link w:val="Ttulo3"/>
    <w:semiHidden/>
    <w:rsid w:val="00C7120E"/>
    <w:rPr>
      <w:rFonts w:ascii="Arial" w:eastAsia="Times New Roman" w:hAnsi="Arial" w:cs="Times New Roman"/>
      <w:b/>
      <w:sz w:val="20"/>
      <w:szCs w:val="20"/>
      <w:lang w:val="es-ES_tradnl" w:eastAsia="es-ES"/>
    </w:rPr>
  </w:style>
  <w:style w:type="character" w:customStyle="1" w:styleId="Ttulo4Car">
    <w:name w:val="Título 4 Car"/>
    <w:basedOn w:val="Fuentedeprrafopredeter"/>
    <w:link w:val="Ttulo4"/>
    <w:semiHidden/>
    <w:rsid w:val="00C7120E"/>
    <w:rPr>
      <w:rFonts w:ascii="Arial" w:eastAsia="Times New Roman" w:hAnsi="Arial" w:cs="Times New Roman"/>
      <w:b/>
      <w:sz w:val="20"/>
      <w:szCs w:val="20"/>
      <w:lang w:val="es-ES_tradnl" w:eastAsia="es-ES"/>
    </w:rPr>
  </w:style>
  <w:style w:type="character" w:customStyle="1" w:styleId="Ttulo5Car">
    <w:name w:val="Título 5 Car"/>
    <w:basedOn w:val="Fuentedeprrafopredeter"/>
    <w:link w:val="Ttulo5"/>
    <w:semiHidden/>
    <w:rsid w:val="00C7120E"/>
    <w:rPr>
      <w:rFonts w:ascii="Arial" w:eastAsia="Times New Roman" w:hAnsi="Arial" w:cs="Times New Roman"/>
      <w:b/>
      <w:sz w:val="20"/>
      <w:szCs w:val="20"/>
      <w:lang w:val="es-ES_tradnl" w:eastAsia="es-ES"/>
    </w:rPr>
  </w:style>
  <w:style w:type="character" w:customStyle="1" w:styleId="Ttulo6Car">
    <w:name w:val="Título 6 Car"/>
    <w:basedOn w:val="Fuentedeprrafopredeter"/>
    <w:link w:val="Ttulo6"/>
    <w:semiHidden/>
    <w:rsid w:val="00C7120E"/>
    <w:rPr>
      <w:rFonts w:ascii="Arial" w:eastAsia="Times New Roman" w:hAnsi="Arial" w:cs="Times New Roman"/>
      <w:b/>
      <w:sz w:val="20"/>
      <w:szCs w:val="18"/>
      <w:lang w:val="es-ES_tradnl" w:eastAsia="es-ES"/>
    </w:rPr>
  </w:style>
  <w:style w:type="character" w:customStyle="1" w:styleId="Ttulo7Car">
    <w:name w:val="Título 7 Car"/>
    <w:basedOn w:val="Fuentedeprrafopredeter"/>
    <w:link w:val="Ttulo7"/>
    <w:semiHidden/>
    <w:rsid w:val="00C7120E"/>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semiHidden/>
    <w:rsid w:val="00C7120E"/>
    <w:rPr>
      <w:rFonts w:ascii="Arial" w:eastAsia="Times New Roman" w:hAnsi="Arial" w:cs="Times New Roman"/>
      <w:b/>
      <w:sz w:val="20"/>
      <w:szCs w:val="18"/>
      <w:lang w:val="es-ES_tradnl" w:eastAsia="es-ES"/>
    </w:rPr>
  </w:style>
  <w:style w:type="paragraph" w:styleId="Prrafodelista">
    <w:name w:val="List Paragraph"/>
    <w:aliases w:val="Titulo 2,VIÑETA,Figuras de tesis,titulo 3,Con viñetas,Normal con viñetas,3,Use Case List Paragraph,Bullet 1,List Paragraph 1,Numbered List Paragraph,Main numbered paragraph,Bullets,List Paragraph (numbered (a)),Akapit z listą BS,Liste 1"/>
    <w:basedOn w:val="Normal"/>
    <w:link w:val="PrrafodelistaCar"/>
    <w:uiPriority w:val="34"/>
    <w:qFormat/>
    <w:rsid w:val="00C7120E"/>
    <w:pPr>
      <w:spacing w:after="200" w:line="276" w:lineRule="auto"/>
      <w:ind w:left="720"/>
      <w:contextualSpacing/>
    </w:pPr>
  </w:style>
  <w:style w:type="character" w:styleId="Hipervnculo">
    <w:name w:val="Hyperlink"/>
    <w:basedOn w:val="Fuentedeprrafopredeter"/>
    <w:uiPriority w:val="99"/>
    <w:unhideWhenUsed/>
    <w:rsid w:val="00C7120E"/>
    <w:rPr>
      <w:color w:val="0000FF"/>
      <w:u w:val="single"/>
    </w:rPr>
  </w:style>
  <w:style w:type="paragraph" w:styleId="NormalWeb">
    <w:name w:val="Normal (Web)"/>
    <w:basedOn w:val="Normal"/>
    <w:uiPriority w:val="99"/>
    <w:semiHidden/>
    <w:unhideWhenUsed/>
    <w:rsid w:val="00C7120E"/>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Textoindependiente">
    <w:name w:val="Body Text"/>
    <w:basedOn w:val="Normal"/>
    <w:link w:val="TextoindependienteCar"/>
    <w:unhideWhenUsed/>
    <w:rsid w:val="00C7120E"/>
    <w:pPr>
      <w:spacing w:after="0" w:line="240" w:lineRule="auto"/>
      <w:jc w:val="both"/>
    </w:pPr>
    <w:rPr>
      <w:rFonts w:ascii="Century Gothic" w:eastAsia="Times New Roman" w:hAnsi="Century Gothic" w:cs="Times New Roman"/>
      <w:szCs w:val="24"/>
      <w:lang w:val="es-ES" w:eastAsia="es-ES"/>
    </w:rPr>
  </w:style>
  <w:style w:type="character" w:customStyle="1" w:styleId="TextoindependienteCar">
    <w:name w:val="Texto independiente Car"/>
    <w:basedOn w:val="Fuentedeprrafopredeter"/>
    <w:link w:val="Textoindependiente"/>
    <w:rsid w:val="00C7120E"/>
    <w:rPr>
      <w:rFonts w:ascii="Century Gothic" w:eastAsia="Times New Roman" w:hAnsi="Century Gothic" w:cs="Times New Roman"/>
      <w:szCs w:val="24"/>
      <w:lang w:val="es-ES" w:eastAsia="es-ES"/>
    </w:rPr>
  </w:style>
  <w:style w:type="character" w:customStyle="1" w:styleId="TextoIndependiente2CarCar">
    <w:name w:val="Texto Independiente 2 Car Car"/>
    <w:basedOn w:val="TextoindependienteCar"/>
    <w:link w:val="TextoIndependiente2"/>
    <w:locked/>
    <w:rsid w:val="00C7120E"/>
    <w:rPr>
      <w:rFonts w:ascii="Century Gothic" w:eastAsia="Times New Roman" w:hAnsi="Century Gothic" w:cs="Times New Roman"/>
      <w:szCs w:val="24"/>
      <w:lang w:val="es-ES" w:eastAsia="es-ES"/>
    </w:rPr>
  </w:style>
  <w:style w:type="paragraph" w:customStyle="1" w:styleId="TextoIndependiente2">
    <w:name w:val="Texto Independiente 2"/>
    <w:basedOn w:val="Textoindependiente"/>
    <w:link w:val="TextoIndependiente2CarCar"/>
    <w:rsid w:val="00C7120E"/>
    <w:pPr>
      <w:numPr>
        <w:numId w:val="1"/>
      </w:numPr>
      <w:tabs>
        <w:tab w:val="num" w:pos="1080"/>
      </w:tabs>
      <w:ind w:left="1072" w:hanging="505"/>
    </w:pPr>
  </w:style>
  <w:style w:type="paragraph" w:styleId="TDC1">
    <w:name w:val="toc 1"/>
    <w:basedOn w:val="Normal"/>
    <w:next w:val="Normal"/>
    <w:autoRedefine/>
    <w:uiPriority w:val="39"/>
    <w:unhideWhenUsed/>
    <w:rsid w:val="00C7120E"/>
    <w:pPr>
      <w:tabs>
        <w:tab w:val="right" w:leader="dot" w:pos="7920"/>
      </w:tabs>
      <w:snapToGrid w:val="0"/>
      <w:spacing w:before="120" w:after="120" w:line="240" w:lineRule="auto"/>
      <w:ind w:left="1701" w:right="561"/>
      <w:jc w:val="both"/>
    </w:pPr>
    <w:rPr>
      <w:rFonts w:ascii="Arial" w:eastAsia="Times New Roman" w:hAnsi="Arial" w:cs="Times New Roman"/>
      <w:b/>
      <w:sz w:val="20"/>
      <w:szCs w:val="20"/>
      <w:lang w:val="es-ES_tradnl" w:eastAsia="es-ES"/>
    </w:rPr>
  </w:style>
  <w:style w:type="paragraph" w:styleId="TDC2">
    <w:name w:val="toc 2"/>
    <w:basedOn w:val="Normal"/>
    <w:next w:val="Normal"/>
    <w:autoRedefine/>
    <w:uiPriority w:val="39"/>
    <w:semiHidden/>
    <w:unhideWhenUsed/>
    <w:rsid w:val="00C7120E"/>
    <w:pPr>
      <w:tabs>
        <w:tab w:val="right" w:leader="dot" w:pos="7920"/>
      </w:tabs>
      <w:snapToGrid w:val="0"/>
      <w:spacing w:before="60" w:after="60" w:line="240" w:lineRule="auto"/>
      <w:ind w:left="1701" w:right="561"/>
      <w:jc w:val="both"/>
    </w:pPr>
    <w:rPr>
      <w:rFonts w:ascii="Arial" w:eastAsia="Times New Roman" w:hAnsi="Arial" w:cs="Times New Roman"/>
      <w:noProof/>
      <w:sz w:val="20"/>
      <w:szCs w:val="20"/>
      <w:lang w:val="es-ES_tradnl" w:eastAsia="es-ES"/>
    </w:rPr>
  </w:style>
  <w:style w:type="character" w:customStyle="1" w:styleId="TextoInicialChar">
    <w:name w:val="Texto Inicial Char"/>
    <w:link w:val="TextoInicial"/>
    <w:locked/>
    <w:rsid w:val="00C7120E"/>
    <w:rPr>
      <w:rFonts w:ascii="Arial" w:hAnsi="Arial" w:cs="Arial"/>
      <w:b/>
      <w:sz w:val="32"/>
      <w:szCs w:val="24"/>
    </w:rPr>
  </w:style>
  <w:style w:type="paragraph" w:customStyle="1" w:styleId="TextoInicial">
    <w:name w:val="Texto Inicial"/>
    <w:basedOn w:val="Normal"/>
    <w:link w:val="TextoInicialChar"/>
    <w:rsid w:val="00C7120E"/>
    <w:pPr>
      <w:spacing w:after="0" w:line="240" w:lineRule="auto"/>
    </w:pPr>
    <w:rPr>
      <w:rFonts w:ascii="Arial" w:hAnsi="Arial" w:cs="Arial"/>
      <w:b/>
      <w:sz w:val="32"/>
      <w:szCs w:val="24"/>
    </w:rPr>
  </w:style>
  <w:style w:type="paragraph" w:styleId="Textodeglobo">
    <w:name w:val="Balloon Text"/>
    <w:basedOn w:val="Normal"/>
    <w:link w:val="TextodegloboCar"/>
    <w:uiPriority w:val="99"/>
    <w:semiHidden/>
    <w:unhideWhenUsed/>
    <w:rsid w:val="00C712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20E"/>
    <w:rPr>
      <w:rFonts w:ascii="Tahoma" w:hAnsi="Tahoma" w:cs="Tahoma"/>
      <w:sz w:val="16"/>
      <w:szCs w:val="16"/>
    </w:rPr>
  </w:style>
  <w:style w:type="table" w:styleId="Tablaconcuadrcula">
    <w:name w:val="Table Grid"/>
    <w:basedOn w:val="Tablanormal"/>
    <w:uiPriority w:val="59"/>
    <w:rsid w:val="00C712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mpendiente2">
    <w:name w:val="Texto Indempendiente 2"/>
    <w:basedOn w:val="Normal"/>
    <w:rsid w:val="00C7120E"/>
    <w:pPr>
      <w:numPr>
        <w:ilvl w:val="1"/>
        <w:numId w:val="3"/>
      </w:num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C7120E"/>
    <w:rPr>
      <w:sz w:val="16"/>
      <w:szCs w:val="16"/>
    </w:rPr>
  </w:style>
  <w:style w:type="paragraph" w:styleId="Textocomentario">
    <w:name w:val="annotation text"/>
    <w:basedOn w:val="Normal"/>
    <w:link w:val="TextocomentarioCar"/>
    <w:uiPriority w:val="99"/>
    <w:unhideWhenUsed/>
    <w:rsid w:val="00C7120E"/>
    <w:pPr>
      <w:spacing w:after="200" w:line="240" w:lineRule="auto"/>
    </w:pPr>
    <w:rPr>
      <w:rFonts w:eastAsiaTheme="minorEastAsia"/>
      <w:sz w:val="20"/>
      <w:szCs w:val="20"/>
      <w:lang w:eastAsia="es-CR"/>
    </w:rPr>
  </w:style>
  <w:style w:type="character" w:customStyle="1" w:styleId="TextocomentarioCar">
    <w:name w:val="Texto comentario Car"/>
    <w:basedOn w:val="Fuentedeprrafopredeter"/>
    <w:link w:val="Textocomentario"/>
    <w:uiPriority w:val="99"/>
    <w:rsid w:val="00C7120E"/>
    <w:rPr>
      <w:rFonts w:eastAsiaTheme="minorEastAsia"/>
      <w:sz w:val="20"/>
      <w:szCs w:val="20"/>
      <w:lang w:eastAsia="es-CR"/>
    </w:rPr>
  </w:style>
  <w:style w:type="paragraph" w:customStyle="1" w:styleId="InfoBlue">
    <w:name w:val="InfoBlue"/>
    <w:basedOn w:val="Normal"/>
    <w:next w:val="Textoindependiente"/>
    <w:autoRedefine/>
    <w:rsid w:val="00C7120E"/>
    <w:pPr>
      <w:widowControl w:val="0"/>
      <w:spacing w:after="120" w:line="240" w:lineRule="atLeast"/>
      <w:ind w:left="1699"/>
      <w:jc w:val="both"/>
    </w:pPr>
    <w:rPr>
      <w:rFonts w:ascii="Arial" w:eastAsia="Times New Roman" w:hAnsi="Arial" w:cs="Arial"/>
      <w:bCs/>
      <w:sz w:val="20"/>
      <w:szCs w:val="20"/>
    </w:rPr>
  </w:style>
  <w:style w:type="table" w:styleId="Cuadrculaclara-nfasis1">
    <w:name w:val="Light Grid Accent 1"/>
    <w:basedOn w:val="Tablanormal"/>
    <w:uiPriority w:val="62"/>
    <w:rsid w:val="00C7120E"/>
    <w:pPr>
      <w:spacing w:after="0" w:line="240" w:lineRule="auto"/>
    </w:pPr>
    <w:rPr>
      <w:rFonts w:eastAsiaTheme="minorEastAsia"/>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claro-nfasis5">
    <w:name w:val="Light Shading Accent 5"/>
    <w:basedOn w:val="Tablanormal"/>
    <w:uiPriority w:val="60"/>
    <w:rsid w:val="00C7120E"/>
    <w:pPr>
      <w:spacing w:after="0" w:line="240" w:lineRule="auto"/>
    </w:pPr>
    <w:rPr>
      <w:color w:val="2E74B5" w:themeColor="accent5" w:themeShade="BF"/>
      <w:lang w:val="es-E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PrrafoTtulosCar1">
    <w:name w:val="Párrafo Títulos Car1"/>
    <w:basedOn w:val="Normal"/>
    <w:link w:val="PrrafoTtulosCar1Car"/>
    <w:rsid w:val="00C7120E"/>
    <w:pPr>
      <w:spacing w:before="160" w:line="240" w:lineRule="auto"/>
      <w:ind w:left="1701"/>
      <w:jc w:val="both"/>
    </w:pPr>
    <w:rPr>
      <w:rFonts w:ascii="Arial" w:eastAsia="Times New Roman" w:hAnsi="Arial" w:cs="Times New Roman"/>
      <w:sz w:val="20"/>
      <w:szCs w:val="24"/>
      <w:lang w:val="es-ES"/>
    </w:rPr>
  </w:style>
  <w:style w:type="character" w:customStyle="1" w:styleId="PrrafoTtulosCar1Car">
    <w:name w:val="Párrafo Títulos Car1 Car"/>
    <w:link w:val="PrrafoTtulosCar1"/>
    <w:rsid w:val="00C7120E"/>
    <w:rPr>
      <w:rFonts w:ascii="Arial" w:eastAsia="Times New Roman" w:hAnsi="Arial" w:cs="Times New Roman"/>
      <w:sz w:val="20"/>
      <w:szCs w:val="24"/>
      <w:lang w:val="es-ES"/>
    </w:rPr>
  </w:style>
  <w:style w:type="paragraph" w:customStyle="1" w:styleId="Default">
    <w:name w:val="Default"/>
    <w:rsid w:val="00C7120E"/>
    <w:pPr>
      <w:autoSpaceDE w:val="0"/>
      <w:autoSpaceDN w:val="0"/>
      <w:adjustRightInd w:val="0"/>
      <w:spacing w:after="0" w:line="240" w:lineRule="auto"/>
    </w:pPr>
    <w:rPr>
      <w:rFonts w:ascii="Cambria" w:eastAsia="Times New Roman" w:hAnsi="Cambria" w:cs="Cambria"/>
      <w:color w:val="000000"/>
      <w:sz w:val="24"/>
      <w:szCs w:val="24"/>
    </w:rPr>
  </w:style>
  <w:style w:type="table" w:styleId="Sombreadomedio1-nfasis1">
    <w:name w:val="Medium Shading 1 Accent 1"/>
    <w:basedOn w:val="Tablanormal"/>
    <w:uiPriority w:val="63"/>
    <w:rsid w:val="00C7120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C7120E"/>
    <w:pPr>
      <w:spacing w:after="0" w:line="240" w:lineRule="auto"/>
    </w:pPr>
    <w:rPr>
      <w:rFonts w:eastAsiaTheme="minorEastAsia"/>
      <w:lang w:eastAsia="es-C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extonotaalfinal">
    <w:name w:val="endnote text"/>
    <w:basedOn w:val="Normal"/>
    <w:link w:val="TextonotaalfinalCar"/>
    <w:uiPriority w:val="99"/>
    <w:unhideWhenUsed/>
    <w:rsid w:val="00C7120E"/>
    <w:pPr>
      <w:spacing w:after="200" w:line="276"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rsid w:val="00C7120E"/>
    <w:rPr>
      <w:rFonts w:ascii="Calibri" w:eastAsia="Calibri" w:hAnsi="Calibri" w:cs="Times New Roman"/>
      <w:sz w:val="20"/>
      <w:szCs w:val="20"/>
    </w:rPr>
  </w:style>
  <w:style w:type="character" w:customStyle="1" w:styleId="PrrafodelistaCar">
    <w:name w:val="Párrafo de lista Car"/>
    <w:aliases w:val="Titulo 2 Car,VIÑETA Car,Figuras de tesis Car,titulo 3 Car,Con viñetas Car,Normal con viñetas Car,3 Car,Use Case List Paragraph Car,Bullet 1 Car,List Paragraph 1 Car,Numbered List Paragraph Car,Main numbered paragraph Car,Bullets Car"/>
    <w:link w:val="Prrafodelista"/>
    <w:uiPriority w:val="34"/>
    <w:locked/>
    <w:rsid w:val="00C7120E"/>
  </w:style>
  <w:style w:type="paragraph" w:styleId="Asuntodelcomentario">
    <w:name w:val="annotation subject"/>
    <w:basedOn w:val="Textocomentario"/>
    <w:next w:val="Textocomentario"/>
    <w:link w:val="AsuntodelcomentarioCar"/>
    <w:uiPriority w:val="99"/>
    <w:semiHidden/>
    <w:unhideWhenUsed/>
    <w:rsid w:val="00C7120E"/>
    <w:rPr>
      <w:rFonts w:eastAsiaTheme="minorHAnsi"/>
      <w:b/>
      <w:bCs/>
      <w:lang w:eastAsia="en-US"/>
    </w:rPr>
  </w:style>
  <w:style w:type="character" w:customStyle="1" w:styleId="AsuntodelcomentarioCar">
    <w:name w:val="Asunto del comentario Car"/>
    <w:basedOn w:val="TextocomentarioCar"/>
    <w:link w:val="Asuntodelcomentario"/>
    <w:uiPriority w:val="99"/>
    <w:semiHidden/>
    <w:rsid w:val="00C7120E"/>
    <w:rPr>
      <w:rFonts w:eastAsiaTheme="minorEastAsia"/>
      <w:b/>
      <w:bCs/>
      <w:sz w:val="20"/>
      <w:szCs w:val="20"/>
      <w:lang w:eastAsia="es-CR"/>
    </w:rPr>
  </w:style>
  <w:style w:type="paragraph" w:customStyle="1" w:styleId="EstiloTtulo3CenturyGothic">
    <w:name w:val="Estilo Título 3 + Century Gothic"/>
    <w:basedOn w:val="Ttulo3"/>
    <w:link w:val="EstiloTtulo3CenturyGothicCar"/>
    <w:rsid w:val="00C7120E"/>
    <w:pPr>
      <w:numPr>
        <w:ilvl w:val="0"/>
        <w:numId w:val="0"/>
      </w:numPr>
      <w:spacing w:before="0" w:after="0"/>
    </w:pPr>
    <w:rPr>
      <w:rFonts w:ascii="Century Gothic" w:hAnsi="Century Gothic" w:cs="Arial"/>
      <w:bCs/>
      <w:sz w:val="24"/>
      <w:lang w:val="es-ES"/>
    </w:rPr>
  </w:style>
  <w:style w:type="character" w:customStyle="1" w:styleId="EstiloTtulo3CenturyGothicCar">
    <w:name w:val="Estilo Título 3 + Century Gothic Car"/>
    <w:basedOn w:val="Ttulo3Car"/>
    <w:link w:val="EstiloTtulo3CenturyGothic"/>
    <w:rsid w:val="00C7120E"/>
    <w:rPr>
      <w:rFonts w:ascii="Century Gothic" w:eastAsia="Times New Roman" w:hAnsi="Century Gothic" w:cs="Arial"/>
      <w:b/>
      <w:bCs/>
      <w:sz w:val="24"/>
      <w:szCs w:val="20"/>
      <w:lang w:val="es-ES"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
    <w:basedOn w:val="Normal"/>
    <w:link w:val="TextonotapieCar"/>
    <w:uiPriority w:val="99"/>
    <w:unhideWhenUsed/>
    <w:rsid w:val="00C7120E"/>
    <w:pPr>
      <w:spacing w:after="0" w:line="240" w:lineRule="auto"/>
    </w:pPr>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 Car"/>
    <w:basedOn w:val="Fuentedeprrafopredeter"/>
    <w:link w:val="Textonotapie"/>
    <w:uiPriority w:val="99"/>
    <w:rsid w:val="00C7120E"/>
    <w:rPr>
      <w:sz w:val="20"/>
      <w:szCs w:val="20"/>
    </w:rPr>
  </w:style>
  <w:style w:type="character" w:styleId="Refdenotaalpie">
    <w:name w:val="footnote reference"/>
    <w:aliases w:val="Ref,de nota al pie,16 Point,Superscript 6 Point,Superscript 6 Point + 11 pt,FC,ftref,referencia nota al pie,Footnote number,Footnote Reference 2"/>
    <w:basedOn w:val="Fuentedeprrafopredeter"/>
    <w:uiPriority w:val="99"/>
    <w:unhideWhenUsed/>
    <w:rsid w:val="00C7120E"/>
    <w:rPr>
      <w:vertAlign w:val="superscript"/>
    </w:rPr>
  </w:style>
  <w:style w:type="table" w:customStyle="1" w:styleId="Correspondencia1">
    <w:name w:val="Correspondencia1"/>
    <w:basedOn w:val="Tablanormal"/>
    <w:uiPriority w:val="99"/>
    <w:qFormat/>
    <w:locked/>
    <w:rsid w:val="00C7120E"/>
    <w:pPr>
      <w:spacing w:before="20" w:after="20" w:line="240" w:lineRule="auto"/>
    </w:pPr>
    <w:rPr>
      <w:rFonts w:ascii="Franklin Gothic Book" w:eastAsia="Calibri" w:hAnsi="Franklin Gothic Book" w:cs="Times New Roman"/>
      <w:sz w:val="20"/>
      <w:szCs w:val="20"/>
      <w:lang w:eastAsia="es-C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right w:val="nil"/>
          <w:insideH w:val="nil"/>
          <w:insideV w:val="nil"/>
          <w:tl2br w:val="nil"/>
          <w:tr2bl w:val="nil"/>
        </w:tcBorders>
        <w:shd w:val="clear" w:color="auto" w:fill="95B3D7"/>
      </w:tcPr>
    </w:tblStylePr>
    <w:tblStylePr w:type="lastRow">
      <w:rPr>
        <w:rFonts w:ascii="Franklin Gothic Book" w:hAnsi="Franklin Gothic Book"/>
        <w:sz w:val="20"/>
      </w:rPr>
      <w:tblPr/>
      <w:tcPr>
        <w:tcBorders>
          <w:top w:val="single" w:sz="4" w:space="0" w:color="E9EFF7"/>
          <w:left w:val="single" w:sz="4" w:space="0" w:color="E9EFF7"/>
          <w:bottom w:val="single" w:sz="4" w:space="0" w:color="E9EFF7"/>
          <w:right w:val="single" w:sz="4" w:space="0" w:color="E9EFF7"/>
          <w:insideH w:val="single" w:sz="4" w:space="0" w:color="E9EFF7"/>
          <w:insideV w:val="single" w:sz="4" w:space="0" w:color="E9EFF7"/>
          <w:tl2br w:val="nil"/>
          <w:tr2bl w:val="nil"/>
        </w:tcBorders>
        <w:shd w:val="clear" w:color="auto" w:fill="D4E0EF"/>
      </w:tcPr>
    </w:tblStylePr>
    <w:tblStylePr w:type="band1Horz">
      <w:rPr>
        <w:rFonts w:ascii="Franklin Gothic Book" w:hAnsi="Franklin Gothic Book"/>
        <w:color w:val="auto"/>
        <w:sz w:val="20"/>
      </w:rPr>
      <w:tblPr/>
      <w:tcPr>
        <w:tcBorders>
          <w:top w:val="single" w:sz="4" w:space="0" w:color="E9EFF7"/>
          <w:left w:val="single" w:sz="4" w:space="0" w:color="E9EFF7"/>
          <w:bottom w:val="single" w:sz="4" w:space="0" w:color="E9EFF7"/>
          <w:right w:val="single" w:sz="4" w:space="0" w:color="E9EFF7"/>
          <w:insideH w:val="single" w:sz="4" w:space="0" w:color="E9EFF7"/>
          <w:insideV w:val="single" w:sz="4" w:space="0" w:color="E9EFF7"/>
          <w:tl2br w:val="nil"/>
          <w:tr2bl w:val="nil"/>
        </w:tcBorders>
      </w:tcPr>
    </w:tblStylePr>
    <w:tblStylePr w:type="band2Horz">
      <w:tblPr/>
      <w:tcPr>
        <w:tcBorders>
          <w:top w:val="single" w:sz="4" w:space="0" w:color="E9EFF7"/>
          <w:left w:val="single" w:sz="4" w:space="0" w:color="E9EFF7"/>
          <w:bottom w:val="single" w:sz="4" w:space="0" w:color="E9EFF7"/>
          <w:right w:val="single" w:sz="4" w:space="0" w:color="E9EFF7"/>
          <w:insideH w:val="single" w:sz="4" w:space="0" w:color="E9EFF7"/>
          <w:insideV w:val="single" w:sz="4" w:space="0" w:color="E9EFF7"/>
          <w:tl2br w:val="nil"/>
          <w:tr2bl w:val="nil"/>
        </w:tcBorders>
        <w:shd w:val="clear" w:color="auto" w:fill="D4E0EF"/>
      </w:tcPr>
    </w:tblStylePr>
  </w:style>
  <w:style w:type="table" w:styleId="Listaclara-nfasis1">
    <w:name w:val="Light List Accent 1"/>
    <w:basedOn w:val="Tablanormal"/>
    <w:uiPriority w:val="61"/>
    <w:rsid w:val="00C7120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Sinespaciado">
    <w:name w:val="No Spacing"/>
    <w:uiPriority w:val="1"/>
    <w:qFormat/>
    <w:rsid w:val="00C7120E"/>
    <w:pPr>
      <w:spacing w:after="0" w:line="240" w:lineRule="auto"/>
    </w:pPr>
    <w:rPr>
      <w:rFonts w:ascii="Calibri" w:eastAsia="Calibri" w:hAnsi="Calibri" w:cs="Times New Roman"/>
    </w:rPr>
  </w:style>
  <w:style w:type="table" w:styleId="Listaclara-nfasis2">
    <w:name w:val="Light List Accent 2"/>
    <w:basedOn w:val="Tablanormal"/>
    <w:uiPriority w:val="61"/>
    <w:rsid w:val="00C7120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Listaconnmeros">
    <w:name w:val="List Number"/>
    <w:basedOn w:val="Normal"/>
    <w:uiPriority w:val="99"/>
    <w:semiHidden/>
    <w:unhideWhenUsed/>
    <w:rsid w:val="00C7120E"/>
    <w:pPr>
      <w:numPr>
        <w:numId w:val="46"/>
      </w:numPr>
      <w:tabs>
        <w:tab w:val="clear" w:pos="360"/>
        <w:tab w:val="left" w:pos="1134"/>
      </w:tabs>
      <w:spacing w:after="240" w:line="240" w:lineRule="auto"/>
      <w:ind w:left="0" w:firstLine="0"/>
      <w:jc w:val="both"/>
    </w:pPr>
    <w:rPr>
      <w:rFonts w:ascii="Times New Roman" w:eastAsia="MS Mincho" w:hAnsi="Times New Roman" w:cs="Times New Roman"/>
      <w:lang w:val="en-GB" w:eastAsia="zh-CN"/>
    </w:rPr>
  </w:style>
  <w:style w:type="table" w:customStyle="1" w:styleId="Tablaconcuadrcula1">
    <w:name w:val="Tabla con cuadrícula1"/>
    <w:basedOn w:val="Tablanormal"/>
    <w:next w:val="Tablaconcuadrcula"/>
    <w:uiPriority w:val="59"/>
    <w:rsid w:val="00C712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C7120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C7120E"/>
    <w:pPr>
      <w:spacing w:after="200" w:line="240" w:lineRule="auto"/>
    </w:pPr>
    <w:rPr>
      <w:i/>
      <w:iCs/>
      <w:color w:val="44546A" w:themeColor="text2"/>
      <w:sz w:val="18"/>
      <w:szCs w:val="18"/>
    </w:rPr>
  </w:style>
  <w:style w:type="table" w:styleId="Tablaconcuadrcula4-nfasis1">
    <w:name w:val="Grid Table 4 Accent 1"/>
    <w:basedOn w:val="Tablanormal"/>
    <w:uiPriority w:val="49"/>
    <w:rsid w:val="00C7120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fasis">
    <w:name w:val="Emphasis"/>
    <w:basedOn w:val="Fuentedeprrafopredeter"/>
    <w:uiPriority w:val="20"/>
    <w:qFormat/>
    <w:rsid w:val="00C7120E"/>
    <w:rPr>
      <w:i/>
      <w:iCs/>
    </w:rPr>
  </w:style>
  <w:style w:type="character" w:customStyle="1" w:styleId="st1">
    <w:name w:val="st1"/>
    <w:basedOn w:val="Fuentedeprrafopredeter"/>
    <w:rsid w:val="00C7120E"/>
  </w:style>
  <w:style w:type="character" w:styleId="Hipervnculovisitado">
    <w:name w:val="FollowedHyperlink"/>
    <w:basedOn w:val="Fuentedeprrafopredeter"/>
    <w:uiPriority w:val="99"/>
    <w:semiHidden/>
    <w:unhideWhenUsed/>
    <w:rsid w:val="00C7120E"/>
    <w:rPr>
      <w:color w:val="954F72" w:themeColor="followedHyperlink"/>
      <w:u w:val="single"/>
    </w:rPr>
  </w:style>
  <w:style w:type="table" w:styleId="Tablaconcuadrcula1clara">
    <w:name w:val="Grid Table 1 Light"/>
    <w:basedOn w:val="Tablanormal"/>
    <w:uiPriority w:val="46"/>
    <w:rsid w:val="00C712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C7120E"/>
    <w:rPr>
      <w:b/>
      <w:bCs/>
    </w:rPr>
  </w:style>
  <w:style w:type="paragraph" w:styleId="Revisin">
    <w:name w:val="Revision"/>
    <w:hidden/>
    <w:uiPriority w:val="99"/>
    <w:semiHidden/>
    <w:rsid w:val="00C7120E"/>
    <w:pPr>
      <w:spacing w:after="0" w:line="240" w:lineRule="auto"/>
    </w:pPr>
  </w:style>
  <w:style w:type="paragraph" w:styleId="Sangradetextonormal">
    <w:name w:val="Body Text Indent"/>
    <w:basedOn w:val="Normal"/>
    <w:link w:val="SangradetextonormalCar"/>
    <w:uiPriority w:val="99"/>
    <w:semiHidden/>
    <w:unhideWhenUsed/>
    <w:rsid w:val="00C7120E"/>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C7120E"/>
  </w:style>
  <w:style w:type="paragraph" w:styleId="Textoindependienteprimerasangra2">
    <w:name w:val="Body Text First Indent 2"/>
    <w:basedOn w:val="Sangradetextonormal"/>
    <w:link w:val="Textoindependienteprimerasangra2Car"/>
    <w:uiPriority w:val="99"/>
    <w:semiHidden/>
    <w:unhideWhenUsed/>
    <w:rsid w:val="00C7120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7120E"/>
  </w:style>
  <w:style w:type="table" w:customStyle="1" w:styleId="Tablaconcuadrcula2">
    <w:name w:val="Tabla con cuadrícula2"/>
    <w:basedOn w:val="Tablanormal"/>
    <w:next w:val="Tablaconcuadrcula"/>
    <w:uiPriority w:val="59"/>
    <w:rsid w:val="00C71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7120E"/>
    <w:rPr>
      <w:color w:val="605E5C"/>
      <w:shd w:val="clear" w:color="auto" w:fill="E1DFDD"/>
    </w:rPr>
  </w:style>
  <w:style w:type="character" w:customStyle="1" w:styleId="y2iqfc">
    <w:name w:val="y2iqfc"/>
    <w:basedOn w:val="Fuentedeprrafopredeter"/>
    <w:rsid w:val="00C7120E"/>
  </w:style>
  <w:style w:type="paragraph" w:customStyle="1" w:styleId="PrrafoListaconLetras">
    <w:name w:val="Párrafo Lista con Letras"/>
    <w:basedOn w:val="Normal"/>
    <w:rsid w:val="00C7120E"/>
    <w:pPr>
      <w:spacing w:before="160" w:line="240" w:lineRule="auto"/>
      <w:ind w:left="1944"/>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6329">
      <w:bodyDiv w:val="1"/>
      <w:marLeft w:val="0"/>
      <w:marRight w:val="0"/>
      <w:marTop w:val="0"/>
      <w:marBottom w:val="0"/>
      <w:divBdr>
        <w:top w:val="none" w:sz="0" w:space="0" w:color="auto"/>
        <w:left w:val="none" w:sz="0" w:space="0" w:color="auto"/>
        <w:bottom w:val="none" w:sz="0" w:space="0" w:color="auto"/>
        <w:right w:val="none" w:sz="0" w:space="0" w:color="auto"/>
      </w:divBdr>
    </w:div>
    <w:div w:id="135970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3.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chart" Target="charts/chart4.xm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2.xml"/><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image" Target="media/image33.emf"/><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1.xml"/><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notes.xml.rels><?xml version="1.0" encoding="UTF-8" standalone="yes"?>
<Relationships xmlns="http://schemas.openxmlformats.org/package/2006/relationships"><Relationship Id="rId2" Type="http://schemas.openxmlformats.org/officeDocument/2006/relationships/hyperlink" Target="https://app.powerbi.com/view?r=eyJrIjoiMDk0OGE3NWYtZWYwNy00ZjBjLWIyYTctMDU5OTI4NzY4MjM5IiwidCI6IjYxOGQwYTQ1LTI1YTYtNDYxOC05ZjgwLThmNzBhNDM1ZWU1MiJ9" TargetMode="External"/><Relationship Id="rId1" Type="http://schemas.openxmlformats.org/officeDocument/2006/relationships/hyperlink" Target="https://gee.bccr.fi.cr/indicadoreseconomicos/Cuadros/frmVerCatCuadro.aspx?idioma=1&amp;CodCuadro=%2057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https://bccr-my.sharepoint.com/personal/acunasc_sugese_fi_cr/Documents/Documentos/Anexos%20Estad&#237;sticos/2022/Memoria%202022/Datos_Memoria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ccr-my.sharepoint.com/personal/acunasc_sugese_fi_cr/Documents/Documentos/Anexos%20Estad&#237;sticos/2022/Memoria%202022/Datos_Memoria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ccr-my.sharepoint.com/personal/rodriguezsd_sugese_fi_cr/Documents/Escritorio/Solicitudes/Informe%20ASSAL/Reporte_Ratio_Combinado_Por_Aseguradora_Y_Ramo%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ccr-my.sharepoint.com/personal/acunasc_sugese_fi_cr/Documents/Documentos/Anexos%20Estad&#237;sticos/2022/Memoria%202022/Datos_Memoria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25497469839802"/>
          <c:y val="4.1844977090099697E-2"/>
          <c:w val="0.78774502530160195"/>
          <c:h val="0.71303241892423364"/>
        </c:manualLayout>
      </c:layout>
      <c:lineChart>
        <c:grouping val="standard"/>
        <c:varyColors val="0"/>
        <c:ser>
          <c:idx val="1"/>
          <c:order val="0"/>
          <c:tx>
            <c:strRef>
              <c:f>IHH!$A$227</c:f>
              <c:strCache>
                <c:ptCount val="1"/>
                <c:pt idx="0">
                  <c:v>IHH Total </c:v>
                </c:pt>
              </c:strCache>
            </c:strRef>
          </c:tx>
          <c:spPr>
            <a:ln w="28575" cap="rnd">
              <a:solidFill>
                <a:schemeClr val="accent6">
                  <a:lumMod val="75000"/>
                </a:schemeClr>
              </a:solidFill>
              <a:prstDash val="dash"/>
              <a:round/>
            </a:ln>
            <a:effectLst/>
          </c:spPr>
          <c:marker>
            <c:symbol val="none"/>
          </c:marker>
          <c:cat>
            <c:numRef>
              <c:f>IHH!$B$226:$P$226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IHH!$B$227:$P$227</c:f>
              <c:numCache>
                <c:formatCode>#,##0</c:formatCode>
                <c:ptCount val="15"/>
                <c:pt idx="0">
                  <c:v>10000</c:v>
                </c:pt>
                <c:pt idx="1">
                  <c:v>9960.5153629663873</c:v>
                </c:pt>
                <c:pt idx="2">
                  <c:v>9756.3666549194422</c:v>
                </c:pt>
                <c:pt idx="3">
                  <c:v>8892.7966241290687</c:v>
                </c:pt>
                <c:pt idx="4">
                  <c:v>8543.2227884888889</c:v>
                </c:pt>
                <c:pt idx="5">
                  <c:v>8087.7150364349091</c:v>
                </c:pt>
                <c:pt idx="6">
                  <c:v>7472.7359655830269</c:v>
                </c:pt>
                <c:pt idx="7">
                  <c:v>6582.1719031038456</c:v>
                </c:pt>
                <c:pt idx="8">
                  <c:v>6109.7009085918253</c:v>
                </c:pt>
                <c:pt idx="9">
                  <c:v>5708.7225708601054</c:v>
                </c:pt>
                <c:pt idx="10">
                  <c:v>5266.4977975930005</c:v>
                </c:pt>
                <c:pt idx="11">
                  <c:v>5234.9423308876285</c:v>
                </c:pt>
                <c:pt idx="12">
                  <c:v>5083.8627232746603</c:v>
                </c:pt>
                <c:pt idx="13">
                  <c:v>4464.164586181766</c:v>
                </c:pt>
                <c:pt idx="14">
                  <c:v>4347.4523052937193</c:v>
                </c:pt>
              </c:numCache>
            </c:numRef>
          </c:val>
          <c:smooth val="0"/>
          <c:extLst>
            <c:ext xmlns:c16="http://schemas.microsoft.com/office/drawing/2014/chart" uri="{C3380CC4-5D6E-409C-BE32-E72D297353CC}">
              <c16:uniqueId val="{00000000-5EA9-4F3B-8385-A3CCF0FD421D}"/>
            </c:ext>
          </c:extLst>
        </c:ser>
        <c:ser>
          <c:idx val="2"/>
          <c:order val="1"/>
          <c:tx>
            <c:strRef>
              <c:f>IHH!$A$228</c:f>
              <c:strCache>
                <c:ptCount val="1"/>
                <c:pt idx="0">
                  <c:v>IHH Voluntarios</c:v>
                </c:pt>
              </c:strCache>
            </c:strRef>
          </c:tx>
          <c:spPr>
            <a:ln w="28575" cap="rnd">
              <a:solidFill>
                <a:schemeClr val="accent5"/>
              </a:solidFill>
              <a:round/>
            </a:ln>
            <a:effectLst/>
          </c:spPr>
          <c:marker>
            <c:symbol val="none"/>
          </c:marker>
          <c:cat>
            <c:numRef>
              <c:f>IHH!$B$226:$P$226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IHH!$B$228:$P$228</c:f>
              <c:numCache>
                <c:formatCode>#,##0</c:formatCode>
                <c:ptCount val="15"/>
                <c:pt idx="0">
                  <c:v>10000</c:v>
                </c:pt>
                <c:pt idx="1">
                  <c:v>9945.9913423729631</c:v>
                </c:pt>
                <c:pt idx="2">
                  <c:v>9650.0857910155446</c:v>
                </c:pt>
                <c:pt idx="3">
                  <c:v>8419.7290706225613</c:v>
                </c:pt>
                <c:pt idx="4">
                  <c:v>7959.089670695289</c:v>
                </c:pt>
                <c:pt idx="5">
                  <c:v>7379.4444108042544</c:v>
                </c:pt>
                <c:pt idx="6">
                  <c:v>6586.9652869200863</c:v>
                </c:pt>
                <c:pt idx="7">
                  <c:v>5664.2273290284938</c:v>
                </c:pt>
                <c:pt idx="8">
                  <c:v>5161.7652937428365</c:v>
                </c:pt>
                <c:pt idx="9">
                  <c:v>4596.1237422370777</c:v>
                </c:pt>
                <c:pt idx="10">
                  <c:v>4106.8048674098854</c:v>
                </c:pt>
                <c:pt idx="11">
                  <c:v>4007.0002705097613</c:v>
                </c:pt>
                <c:pt idx="12">
                  <c:v>3943.8530392710127</c:v>
                </c:pt>
                <c:pt idx="13">
                  <c:v>3348.2948585859413</c:v>
                </c:pt>
                <c:pt idx="14">
                  <c:v>3225.2235478375705</c:v>
                </c:pt>
              </c:numCache>
            </c:numRef>
          </c:val>
          <c:smooth val="0"/>
          <c:extLst>
            <c:ext xmlns:c16="http://schemas.microsoft.com/office/drawing/2014/chart" uri="{C3380CC4-5D6E-409C-BE32-E72D297353CC}">
              <c16:uniqueId val="{00000001-5EA9-4F3B-8385-A3CCF0FD421D}"/>
            </c:ext>
          </c:extLst>
        </c:ser>
        <c:dLbls>
          <c:showLegendKey val="0"/>
          <c:showVal val="0"/>
          <c:showCatName val="0"/>
          <c:showSerName val="0"/>
          <c:showPercent val="0"/>
          <c:showBubbleSize val="0"/>
        </c:dLbls>
        <c:smooth val="0"/>
        <c:axId val="343786272"/>
        <c:axId val="343790080"/>
      </c:lineChart>
      <c:catAx>
        <c:axId val="34378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43790080"/>
        <c:crosses val="autoZero"/>
        <c:auto val="1"/>
        <c:lblAlgn val="ctr"/>
        <c:lblOffset val="100"/>
        <c:noMultiLvlLbl val="0"/>
      </c:catAx>
      <c:valAx>
        <c:axId val="343790080"/>
        <c:scaling>
          <c:orientation val="minMax"/>
          <c:max val="1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43786272"/>
        <c:crosses val="autoZero"/>
        <c:crossBetween val="between"/>
        <c:majorUnit val="2000"/>
      </c:valAx>
      <c:dTable>
        <c:showHorzBorder val="1"/>
        <c:showVertBorder val="1"/>
        <c:showOutline val="1"/>
        <c:showKeys val="1"/>
        <c:spPr>
          <a:noFill/>
          <a:ln w="6350"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65016155461792"/>
          <c:y val="3.9479581680343691E-2"/>
          <c:w val="0.78483322492825425"/>
          <c:h val="0.7548368678315015"/>
        </c:manualLayout>
      </c:layout>
      <c:lineChart>
        <c:grouping val="standard"/>
        <c:varyColors val="0"/>
        <c:ser>
          <c:idx val="1"/>
          <c:order val="0"/>
          <c:tx>
            <c:strRef>
              <c:f>IHH!$A$305</c:f>
              <c:strCache>
                <c:ptCount val="1"/>
                <c:pt idx="0">
                  <c:v> IHH Generales </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IHH!$B$280:$P$280</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IHH!$B$305:$P$305</c:f>
              <c:numCache>
                <c:formatCode>_(* #\ ##0_);_(* \(#\ ##0\);_(* "-"??_);_(@_)</c:formatCode>
                <c:ptCount val="15"/>
                <c:pt idx="0">
                  <c:v>10000</c:v>
                </c:pt>
                <c:pt idx="1">
                  <c:v>10000</c:v>
                </c:pt>
                <c:pt idx="2">
                  <c:v>9746.3476927666561</c:v>
                </c:pt>
                <c:pt idx="3">
                  <c:v>8749.0474845114804</c:v>
                </c:pt>
                <c:pt idx="4">
                  <c:v>8078.6600195857818</c:v>
                </c:pt>
                <c:pt idx="5">
                  <c:v>7968.0151695825889</c:v>
                </c:pt>
                <c:pt idx="6">
                  <c:v>7455.2726211290747</c:v>
                </c:pt>
                <c:pt idx="7">
                  <c:v>6843.6805714491784</c:v>
                </c:pt>
                <c:pt idx="8">
                  <c:v>6193.3200874495251</c:v>
                </c:pt>
                <c:pt idx="9">
                  <c:v>5744.2941486147965</c:v>
                </c:pt>
                <c:pt idx="10">
                  <c:v>5477.1235799213409</c:v>
                </c:pt>
                <c:pt idx="11">
                  <c:v>5615.1284240329551</c:v>
                </c:pt>
                <c:pt idx="12">
                  <c:v>5588.4672382467279</c:v>
                </c:pt>
                <c:pt idx="13">
                  <c:v>4871.3861886452223</c:v>
                </c:pt>
                <c:pt idx="14">
                  <c:v>4609.1050128020888</c:v>
                </c:pt>
              </c:numCache>
            </c:numRef>
          </c:val>
          <c:smooth val="0"/>
          <c:extLst>
            <c:ext xmlns:c16="http://schemas.microsoft.com/office/drawing/2014/chart" uri="{C3380CC4-5D6E-409C-BE32-E72D297353CC}">
              <c16:uniqueId val="{00000000-F1C1-4AC5-A789-0EAFDA9DA833}"/>
            </c:ext>
          </c:extLst>
        </c:ser>
        <c:ser>
          <c:idx val="2"/>
          <c:order val="1"/>
          <c:tx>
            <c:strRef>
              <c:f>IHH!$A$304</c:f>
              <c:strCache>
                <c:ptCount val="1"/>
                <c:pt idx="0">
                  <c:v> IHH Personales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IHH!$B$280:$P$280</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IHH!$B$304:$P$304</c:f>
              <c:numCache>
                <c:formatCode>_(* #\ ##0_);_(* \(#\ ##0\);_(* "-"??_);_(@_)</c:formatCode>
                <c:ptCount val="15"/>
                <c:pt idx="0">
                  <c:v>10000</c:v>
                </c:pt>
                <c:pt idx="1">
                  <c:v>9726.6625210225848</c:v>
                </c:pt>
                <c:pt idx="2">
                  <c:v>9254.8625148595293</c:v>
                </c:pt>
                <c:pt idx="3">
                  <c:v>7360.3389070709472</c:v>
                </c:pt>
                <c:pt idx="4">
                  <c:v>7473.4826999338429</c:v>
                </c:pt>
                <c:pt idx="5">
                  <c:v>5864.0384389137243</c:v>
                </c:pt>
                <c:pt idx="6">
                  <c:v>4671.0008741477504</c:v>
                </c:pt>
                <c:pt idx="7">
                  <c:v>3954.7138459949315</c:v>
                </c:pt>
                <c:pt idx="8">
                  <c:v>3906.5678167132132</c:v>
                </c:pt>
                <c:pt idx="9">
                  <c:v>3298.9071604324299</c:v>
                </c:pt>
                <c:pt idx="10">
                  <c:v>2821.1838303385603</c:v>
                </c:pt>
                <c:pt idx="11">
                  <c:v>2601.1413177051322</c:v>
                </c:pt>
                <c:pt idx="12">
                  <c:v>2507.4456465382927</c:v>
                </c:pt>
                <c:pt idx="13">
                  <c:v>2272.5575093164489</c:v>
                </c:pt>
                <c:pt idx="14">
                  <c:v>2303.2300798780479</c:v>
                </c:pt>
              </c:numCache>
            </c:numRef>
          </c:val>
          <c:smooth val="0"/>
          <c:extLst>
            <c:ext xmlns:c16="http://schemas.microsoft.com/office/drawing/2014/chart" uri="{C3380CC4-5D6E-409C-BE32-E72D297353CC}">
              <c16:uniqueId val="{00000001-F1C1-4AC5-A789-0EAFDA9DA833}"/>
            </c:ext>
          </c:extLst>
        </c:ser>
        <c:dLbls>
          <c:showLegendKey val="0"/>
          <c:showVal val="0"/>
          <c:showCatName val="0"/>
          <c:showSerName val="0"/>
          <c:showPercent val="0"/>
          <c:showBubbleSize val="0"/>
        </c:dLbls>
        <c:marker val="1"/>
        <c:smooth val="0"/>
        <c:axId val="343792256"/>
        <c:axId val="343786816"/>
      </c:lineChart>
      <c:catAx>
        <c:axId val="343792256"/>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43786816"/>
        <c:crosses val="autoZero"/>
        <c:auto val="1"/>
        <c:lblAlgn val="ctr"/>
        <c:lblOffset val="100"/>
        <c:noMultiLvlLbl val="0"/>
      </c:catAx>
      <c:valAx>
        <c:axId val="343786816"/>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43792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4750392911011"/>
          <c:y val="5.4739985070913162E-2"/>
          <c:w val="0.8070524960708898"/>
          <c:h val="0.71547858123239172"/>
        </c:manualLayout>
      </c:layout>
      <c:barChart>
        <c:barDir val="col"/>
        <c:grouping val="clustered"/>
        <c:varyColors val="0"/>
        <c:ser>
          <c:idx val="2"/>
          <c:order val="2"/>
          <c:tx>
            <c:strRef>
              <c:f>Mercado!$D$1</c:f>
              <c:strCache>
                <c:ptCount val="1"/>
                <c:pt idx="0">
                  <c:v>Gastos de adquisición</c:v>
                </c:pt>
              </c:strCache>
            </c:strRef>
          </c:tx>
          <c:spPr>
            <a:solidFill>
              <a:schemeClr val="accent3"/>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(Mercado!$D$9,Mercado!$D$13,Mercado!$D$17:$D$25)</c:f>
              <c:extLst/>
            </c:numRef>
          </c:val>
          <c:extLst>
            <c:ext xmlns:c16="http://schemas.microsoft.com/office/drawing/2014/chart" uri="{C3380CC4-5D6E-409C-BE32-E72D297353CC}">
              <c16:uniqueId val="{00000000-01EA-4992-A4DB-6D506FD99812}"/>
            </c:ext>
          </c:extLst>
        </c:ser>
        <c:ser>
          <c:idx val="3"/>
          <c:order val="3"/>
          <c:tx>
            <c:strRef>
              <c:f>Mercado!$E$1</c:f>
              <c:strCache>
                <c:ptCount val="1"/>
                <c:pt idx="0">
                  <c:v>Gastos de administración</c:v>
                </c:pt>
              </c:strCache>
            </c:strRef>
          </c:tx>
          <c:spPr>
            <a:solidFill>
              <a:schemeClr val="accent4"/>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(Mercado!$E$9,Mercado!$E$13,Mercado!$E$17:$E$25)</c:f>
              <c:extLst/>
            </c:numRef>
          </c:val>
          <c:extLst>
            <c:ext xmlns:c16="http://schemas.microsoft.com/office/drawing/2014/chart" uri="{C3380CC4-5D6E-409C-BE32-E72D297353CC}">
              <c16:uniqueId val="{00000001-01EA-4992-A4DB-6D506FD99812}"/>
            </c:ext>
          </c:extLst>
        </c:ser>
        <c:ser>
          <c:idx val="4"/>
          <c:order val="4"/>
          <c:tx>
            <c:strRef>
              <c:f>Mercado!$F$1</c:f>
              <c:strCache>
                <c:ptCount val="1"/>
                <c:pt idx="0">
                  <c:v>Comisiones y participaciones en el reaseguro cedido y retrocedido (-)</c:v>
                </c:pt>
              </c:strCache>
            </c:strRef>
          </c:tx>
          <c:spPr>
            <a:solidFill>
              <a:schemeClr val="accent5"/>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(Mercado!$F$9,Mercado!$F$13,Mercado!$F$17:$F$25)</c:f>
              <c:extLst/>
            </c:numRef>
          </c:val>
          <c:extLst>
            <c:ext xmlns:c16="http://schemas.microsoft.com/office/drawing/2014/chart" uri="{C3380CC4-5D6E-409C-BE32-E72D297353CC}">
              <c16:uniqueId val="{00000002-01EA-4992-A4DB-6D506FD99812}"/>
            </c:ext>
          </c:extLst>
        </c:ser>
        <c:ser>
          <c:idx val="5"/>
          <c:order val="5"/>
          <c:tx>
            <c:strRef>
              <c:f>Mercado!$G$1</c:f>
              <c:strCache>
                <c:ptCount val="1"/>
                <c:pt idx="0">
                  <c:v>Otros gastos netos</c:v>
                </c:pt>
              </c:strCache>
            </c:strRef>
          </c:tx>
          <c:spPr>
            <a:solidFill>
              <a:schemeClr val="accent6"/>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(Mercado!$G$9,Mercado!$G$13,Mercado!$G$17:$G$25)</c:f>
              <c:extLst/>
            </c:numRef>
          </c:val>
          <c:extLst>
            <c:ext xmlns:c16="http://schemas.microsoft.com/office/drawing/2014/chart" uri="{C3380CC4-5D6E-409C-BE32-E72D297353CC}">
              <c16:uniqueId val="{00000003-01EA-4992-A4DB-6D506FD99812}"/>
            </c:ext>
          </c:extLst>
        </c:ser>
        <c:dLbls>
          <c:showLegendKey val="0"/>
          <c:showVal val="0"/>
          <c:showCatName val="0"/>
          <c:showSerName val="0"/>
          <c:showPercent val="0"/>
          <c:showBubbleSize val="0"/>
        </c:dLbls>
        <c:gapWidth val="60"/>
        <c:axId val="1220112704"/>
        <c:axId val="1220110208"/>
        <c:extLst/>
      </c:barChart>
      <c:barChart>
        <c:barDir val="col"/>
        <c:grouping val="stacked"/>
        <c:varyColors val="0"/>
        <c:ser>
          <c:idx val="0"/>
          <c:order val="0"/>
          <c:tx>
            <c:strRef>
              <c:f>Mercado!$B$1</c:f>
              <c:strCache>
                <c:ptCount val="1"/>
                <c:pt idx="0">
                  <c:v>Índice de siniestralidad</c:v>
                </c:pt>
              </c:strCache>
            </c:strRef>
          </c:tx>
          <c:spPr>
            <a:solidFill>
              <a:schemeClr val="accent1">
                <a:lumMod val="50000"/>
              </a:schemeClr>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(Mercado!$B$9,Mercado!$B$13,Mercado!$B$17:$B$25)</c:f>
              <c:numCache>
                <c:formatCode>0.0</c:formatCode>
                <c:ptCount val="11"/>
                <c:pt idx="0">
                  <c:v>64.477067000000005</c:v>
                </c:pt>
                <c:pt idx="1">
                  <c:v>75.729989000000003</c:v>
                </c:pt>
                <c:pt idx="2">
                  <c:v>61.954217999999997</c:v>
                </c:pt>
                <c:pt idx="3">
                  <c:v>62.089483999999999</c:v>
                </c:pt>
                <c:pt idx="4">
                  <c:v>73.243319</c:v>
                </c:pt>
                <c:pt idx="5">
                  <c:v>72.679304000000002</c:v>
                </c:pt>
                <c:pt idx="6">
                  <c:v>69.459074999999999</c:v>
                </c:pt>
                <c:pt idx="7">
                  <c:v>67.643079</c:v>
                </c:pt>
                <c:pt idx="8">
                  <c:v>60.915655000000001</c:v>
                </c:pt>
                <c:pt idx="9">
                  <c:v>63.246257</c:v>
                </c:pt>
                <c:pt idx="10">
                  <c:v>63.198864999999998</c:v>
                </c:pt>
              </c:numCache>
              <c:extLst/>
            </c:numRef>
          </c:val>
          <c:extLst>
            <c:ext xmlns:c16="http://schemas.microsoft.com/office/drawing/2014/chart" uri="{C3380CC4-5D6E-409C-BE32-E72D297353CC}">
              <c16:uniqueId val="{00000004-01EA-4992-A4DB-6D506FD99812}"/>
            </c:ext>
          </c:extLst>
        </c:ser>
        <c:ser>
          <c:idx val="1"/>
          <c:order val="1"/>
          <c:tx>
            <c:strRef>
              <c:f>Mercado!$C$1</c:f>
              <c:strCache>
                <c:ptCount val="1"/>
                <c:pt idx="0">
                  <c:v>Índice de gastos</c:v>
                </c:pt>
              </c:strCache>
            </c:strRef>
          </c:tx>
          <c:spPr>
            <a:solidFill>
              <a:schemeClr val="accent6"/>
            </a:solidFill>
            <a:ln>
              <a:noFill/>
            </a:ln>
            <a:effectLst/>
          </c:spPr>
          <c:invertIfNegative val="0"/>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(Mercado!$C$9,Mercado!$C$13,Mercado!$C$17:$C$25)</c:f>
              <c:numCache>
                <c:formatCode>0.0</c:formatCode>
                <c:ptCount val="11"/>
                <c:pt idx="0">
                  <c:v>30.508725999999999</c:v>
                </c:pt>
                <c:pt idx="1">
                  <c:v>20.999414999999999</c:v>
                </c:pt>
                <c:pt idx="2">
                  <c:v>32.615330999999998</c:v>
                </c:pt>
                <c:pt idx="3">
                  <c:v>32.982270999999997</c:v>
                </c:pt>
                <c:pt idx="4">
                  <c:v>32.867832999999997</c:v>
                </c:pt>
                <c:pt idx="5">
                  <c:v>26.273852000000002</c:v>
                </c:pt>
                <c:pt idx="6">
                  <c:v>26.381103</c:v>
                </c:pt>
                <c:pt idx="7">
                  <c:v>25.794246999999999</c:v>
                </c:pt>
                <c:pt idx="8">
                  <c:v>25.525428999999999</c:v>
                </c:pt>
                <c:pt idx="9">
                  <c:v>32.369177000000001</c:v>
                </c:pt>
                <c:pt idx="10">
                  <c:v>32.489674999999998</c:v>
                </c:pt>
              </c:numCache>
              <c:extLst/>
            </c:numRef>
          </c:val>
          <c:extLst>
            <c:ext xmlns:c16="http://schemas.microsoft.com/office/drawing/2014/chart" uri="{C3380CC4-5D6E-409C-BE32-E72D297353CC}">
              <c16:uniqueId val="{00000005-01EA-4992-A4DB-6D506FD99812}"/>
            </c:ext>
          </c:extLst>
        </c:ser>
        <c:dLbls>
          <c:showLegendKey val="0"/>
          <c:showVal val="0"/>
          <c:showCatName val="0"/>
          <c:showSerName val="0"/>
          <c:showPercent val="0"/>
          <c:showBubbleSize val="0"/>
        </c:dLbls>
        <c:gapWidth val="70"/>
        <c:overlap val="100"/>
        <c:axId val="1220112704"/>
        <c:axId val="1220110208"/>
      </c:barChart>
      <c:lineChart>
        <c:grouping val="standard"/>
        <c:varyColors val="0"/>
        <c:ser>
          <c:idx val="6"/>
          <c:order val="6"/>
          <c:tx>
            <c:strRef>
              <c:f>Mercado!$H$1</c:f>
              <c:strCache>
                <c:ptCount val="1"/>
                <c:pt idx="0">
                  <c:v>Ratio combinado</c:v>
                </c:pt>
              </c:strCache>
            </c:strRef>
          </c:tx>
          <c:spPr>
            <a:ln w="50800" cap="rnd">
              <a:solidFill>
                <a:schemeClr val="accent2"/>
              </a:solidFill>
              <a:round/>
            </a:ln>
            <a:effectLst/>
          </c:spPr>
          <c:marker>
            <c:symbol val="circle"/>
            <c:size val="7"/>
            <c:spPr>
              <a:solidFill>
                <a:schemeClr val="accent2"/>
              </a:solidFill>
              <a:ln w="25400">
                <a:noFill/>
              </a:ln>
              <a:effectLst/>
            </c:spPr>
          </c:marker>
          <c:cat>
            <c:strRef>
              <c:f>(Mercado!$A$9,Mercado!$A$13,Mercado!$A$17:$A$25)</c:f>
              <c:strCache>
                <c:ptCount val="11"/>
                <c:pt idx="0">
                  <c:v>IV-2018</c:v>
                </c:pt>
                <c:pt idx="1">
                  <c:v>IV-2019</c:v>
                </c:pt>
                <c:pt idx="2">
                  <c:v>IV-2020</c:v>
                </c:pt>
                <c:pt idx="3">
                  <c:v>I-2021</c:v>
                </c:pt>
                <c:pt idx="4">
                  <c:v>II-2021</c:v>
                </c:pt>
                <c:pt idx="5">
                  <c:v>III-2021</c:v>
                </c:pt>
                <c:pt idx="6">
                  <c:v>IV-2021</c:v>
                </c:pt>
                <c:pt idx="7">
                  <c:v>I-2022</c:v>
                </c:pt>
                <c:pt idx="8">
                  <c:v>II-2022</c:v>
                </c:pt>
                <c:pt idx="9">
                  <c:v>III-2022</c:v>
                </c:pt>
                <c:pt idx="10">
                  <c:v>IV-2022</c:v>
                </c:pt>
              </c:strCache>
              <c:extLst/>
            </c:strRef>
          </c:cat>
          <c:val>
            <c:numRef>
              <c:f>(Mercado!$H$9,Mercado!$H$13,Mercado!$H$17:$H$25)</c:f>
              <c:numCache>
                <c:formatCode>0.0</c:formatCode>
                <c:ptCount val="11"/>
                <c:pt idx="0">
                  <c:v>94.985793000000001</c:v>
                </c:pt>
                <c:pt idx="1">
                  <c:v>96.729405</c:v>
                </c:pt>
                <c:pt idx="2">
                  <c:v>94.569547999999998</c:v>
                </c:pt>
                <c:pt idx="3">
                  <c:v>95.071754999999996</c:v>
                </c:pt>
                <c:pt idx="4">
                  <c:v>106.111152</c:v>
                </c:pt>
                <c:pt idx="5">
                  <c:v>98.953156000000007</c:v>
                </c:pt>
                <c:pt idx="6">
                  <c:v>95.840179000000006</c:v>
                </c:pt>
                <c:pt idx="7">
                  <c:v>93.437325999999999</c:v>
                </c:pt>
                <c:pt idx="8">
                  <c:v>86.441084000000004</c:v>
                </c:pt>
                <c:pt idx="9">
                  <c:v>95.615433999999993</c:v>
                </c:pt>
                <c:pt idx="10">
                  <c:v>95.688540000000003</c:v>
                </c:pt>
              </c:numCache>
              <c:extLst/>
            </c:numRef>
          </c:val>
          <c:smooth val="0"/>
          <c:extLst xmlns:c15="http://schemas.microsoft.com/office/drawing/2012/chart">
            <c:ext xmlns:c16="http://schemas.microsoft.com/office/drawing/2014/chart" uri="{C3380CC4-5D6E-409C-BE32-E72D297353CC}">
              <c16:uniqueId val="{00000006-01EA-4992-A4DB-6D506FD99812}"/>
            </c:ext>
          </c:extLst>
        </c:ser>
        <c:dLbls>
          <c:showLegendKey val="0"/>
          <c:showVal val="0"/>
          <c:showCatName val="0"/>
          <c:showSerName val="0"/>
          <c:showPercent val="0"/>
          <c:showBubbleSize val="0"/>
        </c:dLbls>
        <c:marker val="1"/>
        <c:smooth val="0"/>
        <c:axId val="1220112704"/>
        <c:axId val="1220110208"/>
      </c:lineChart>
      <c:catAx>
        <c:axId val="12201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20110208"/>
        <c:crosses val="autoZero"/>
        <c:auto val="1"/>
        <c:lblAlgn val="ctr"/>
        <c:lblOffset val="100"/>
        <c:noMultiLvlLbl val="0"/>
      </c:catAx>
      <c:valAx>
        <c:axId val="1220110208"/>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20112704"/>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mn-lt"/>
                <a:ea typeface="+mn-ea"/>
                <a:cs typeface="+mn-cs"/>
              </a:defRPr>
            </a:pPr>
            <a:endParaRPr lang="es-C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0">
          <a:solidFill>
            <a:sysClr val="windowText" lastClr="000000"/>
          </a:solidFill>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1641447471344E-2"/>
          <c:y val="5.0632893041003581E-2"/>
          <c:w val="0.90748252471634394"/>
          <c:h val="0.68037647134598978"/>
        </c:manualLayout>
      </c:layout>
      <c:lineChart>
        <c:grouping val="standard"/>
        <c:varyColors val="0"/>
        <c:ser>
          <c:idx val="0"/>
          <c:order val="0"/>
          <c:tx>
            <c:strRef>
              <c:f>'datos y cuadros'!$A$221</c:f>
              <c:strCache>
                <c:ptCount val="1"/>
                <c:pt idx="0">
                  <c:v>Personales</c:v>
                </c:pt>
              </c:strCache>
            </c:strRef>
          </c:tx>
          <c:spPr>
            <a:ln w="28575" cap="rnd">
              <a:solidFill>
                <a:schemeClr val="accent1"/>
              </a:solidFill>
              <a:round/>
            </a:ln>
            <a:effectLst/>
          </c:spPr>
          <c:marker>
            <c:symbol val="none"/>
          </c:marker>
          <c:dLbls>
            <c:dLbl>
              <c:idx val="13"/>
              <c:layout>
                <c:manualLayout>
                  <c:x val="-8.7940490306549282E-3"/>
                  <c:y val="3.9222903885480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3A-414C-8EDF-CC25BEDDEB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y cuadros'!$B$220:$O$220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'datos y cuadros'!$B$221:$O$221</c:f>
              <c:numCache>
                <c:formatCode>_(* #\ ##0_);_(* \(#\ ##0\);_(* "-"??_);_(@_)</c:formatCode>
                <c:ptCount val="14"/>
                <c:pt idx="0">
                  <c:v>42</c:v>
                </c:pt>
                <c:pt idx="1">
                  <c:v>85</c:v>
                </c:pt>
                <c:pt idx="2">
                  <c:v>134</c:v>
                </c:pt>
                <c:pt idx="3">
                  <c:v>185</c:v>
                </c:pt>
                <c:pt idx="4">
                  <c:v>205</c:v>
                </c:pt>
                <c:pt idx="5">
                  <c:v>226</c:v>
                </c:pt>
                <c:pt idx="6">
                  <c:v>264</c:v>
                </c:pt>
                <c:pt idx="7">
                  <c:v>280</c:v>
                </c:pt>
                <c:pt idx="8">
                  <c:v>305</c:v>
                </c:pt>
                <c:pt idx="9">
                  <c:v>329</c:v>
                </c:pt>
                <c:pt idx="10">
                  <c:v>345</c:v>
                </c:pt>
                <c:pt idx="11">
                  <c:v>370</c:v>
                </c:pt>
                <c:pt idx="12">
                  <c:v>420</c:v>
                </c:pt>
                <c:pt idx="13" formatCode="General">
                  <c:v>407</c:v>
                </c:pt>
              </c:numCache>
            </c:numRef>
          </c:val>
          <c:smooth val="0"/>
          <c:extLst>
            <c:ext xmlns:c16="http://schemas.microsoft.com/office/drawing/2014/chart" uri="{C3380CC4-5D6E-409C-BE32-E72D297353CC}">
              <c16:uniqueId val="{00000001-813A-414C-8EDF-CC25BEDDEBF0}"/>
            </c:ext>
          </c:extLst>
        </c:ser>
        <c:ser>
          <c:idx val="1"/>
          <c:order val="1"/>
          <c:tx>
            <c:strRef>
              <c:f>'datos y cuadros'!$A$222</c:f>
              <c:strCache>
                <c:ptCount val="1"/>
                <c:pt idx="0">
                  <c:v>Generales</c:v>
                </c:pt>
              </c:strCache>
            </c:strRef>
          </c:tx>
          <c:spPr>
            <a:ln w="28575" cap="rnd">
              <a:solidFill>
                <a:schemeClr val="accent6">
                  <a:lumMod val="75000"/>
                </a:schemeClr>
              </a:solidFill>
              <a:round/>
            </a:ln>
            <a:effectLst/>
          </c:spPr>
          <c:marker>
            <c:symbol val="none"/>
          </c:marker>
          <c:dPt>
            <c:idx val="8"/>
            <c:marker>
              <c:symbol val="none"/>
            </c:marker>
            <c:bubble3D val="0"/>
            <c:extLst>
              <c:ext xmlns:c16="http://schemas.microsoft.com/office/drawing/2014/chart" uri="{C3380CC4-5D6E-409C-BE32-E72D297353CC}">
                <c16:uniqueId val="{00000006-813A-414C-8EDF-CC25BEDDEBF0}"/>
              </c:ext>
            </c:extLst>
          </c:dPt>
          <c:dLbls>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3A-414C-8EDF-CC25BEDDEB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y cuadros'!$B$220:$O$220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'datos y cuadros'!$B$222:$O$222</c:f>
              <c:numCache>
                <c:formatCode>_(* #\ ##0_);_(* \(#\ ##0\);_(* "-"??_);_(@_)</c:formatCode>
                <c:ptCount val="14"/>
                <c:pt idx="0">
                  <c:v>35</c:v>
                </c:pt>
                <c:pt idx="1">
                  <c:v>127</c:v>
                </c:pt>
                <c:pt idx="2">
                  <c:v>159</c:v>
                </c:pt>
                <c:pt idx="3">
                  <c:v>206</c:v>
                </c:pt>
                <c:pt idx="4">
                  <c:v>274</c:v>
                </c:pt>
                <c:pt idx="5">
                  <c:v>342</c:v>
                </c:pt>
                <c:pt idx="6">
                  <c:v>373</c:v>
                </c:pt>
                <c:pt idx="7">
                  <c:v>384</c:v>
                </c:pt>
                <c:pt idx="8">
                  <c:v>396</c:v>
                </c:pt>
                <c:pt idx="9">
                  <c:v>393</c:v>
                </c:pt>
                <c:pt idx="10">
                  <c:v>420</c:v>
                </c:pt>
                <c:pt idx="11">
                  <c:v>434</c:v>
                </c:pt>
                <c:pt idx="12">
                  <c:v>430</c:v>
                </c:pt>
                <c:pt idx="13" formatCode="General">
                  <c:v>433</c:v>
                </c:pt>
              </c:numCache>
            </c:numRef>
          </c:val>
          <c:smooth val="0"/>
          <c:extLst>
            <c:ext xmlns:c16="http://schemas.microsoft.com/office/drawing/2014/chart" uri="{C3380CC4-5D6E-409C-BE32-E72D297353CC}">
              <c16:uniqueId val="{00000003-813A-414C-8EDF-CC25BEDDEBF0}"/>
            </c:ext>
          </c:extLst>
        </c:ser>
        <c:ser>
          <c:idx val="2"/>
          <c:order val="2"/>
          <c:tx>
            <c:strRef>
              <c:f>'datos y cuadros'!$A$223</c:f>
              <c:strCache>
                <c:ptCount val="1"/>
                <c:pt idx="0">
                  <c:v>Totales</c:v>
                </c:pt>
              </c:strCache>
            </c:strRef>
          </c:tx>
          <c:spPr>
            <a:ln w="28575" cap="rnd">
              <a:solidFill>
                <a:schemeClr val="accent5"/>
              </a:solidFill>
              <a:round/>
            </a:ln>
            <a:effectLst/>
          </c:spPr>
          <c:marker>
            <c:symbol val="none"/>
          </c:marker>
          <c:dLbls>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3A-414C-8EDF-CC25BEDDEB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CR"/>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 y cuadros'!$B$220:$O$220</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'datos y cuadros'!$B$223:$O$223</c:f>
              <c:numCache>
                <c:formatCode>_(* #\ ##0_);_(* \(#\ ##0\);_(* "-"??_);_(@_)</c:formatCode>
                <c:ptCount val="14"/>
                <c:pt idx="0">
                  <c:v>77</c:v>
                </c:pt>
                <c:pt idx="1">
                  <c:v>212</c:v>
                </c:pt>
                <c:pt idx="2">
                  <c:v>293</c:v>
                </c:pt>
                <c:pt idx="3">
                  <c:v>391</c:v>
                </c:pt>
                <c:pt idx="4">
                  <c:v>479</c:v>
                </c:pt>
                <c:pt idx="5">
                  <c:v>568</c:v>
                </c:pt>
                <c:pt idx="6">
                  <c:v>637</c:v>
                </c:pt>
                <c:pt idx="7">
                  <c:v>664</c:v>
                </c:pt>
                <c:pt idx="8">
                  <c:v>701</c:v>
                </c:pt>
                <c:pt idx="9">
                  <c:v>722</c:v>
                </c:pt>
                <c:pt idx="10">
                  <c:v>765</c:v>
                </c:pt>
                <c:pt idx="11">
                  <c:v>804</c:v>
                </c:pt>
                <c:pt idx="12">
                  <c:v>850</c:v>
                </c:pt>
                <c:pt idx="13">
                  <c:v>840</c:v>
                </c:pt>
              </c:numCache>
            </c:numRef>
          </c:val>
          <c:smooth val="0"/>
          <c:extLst>
            <c:ext xmlns:c16="http://schemas.microsoft.com/office/drawing/2014/chart" uri="{C3380CC4-5D6E-409C-BE32-E72D297353CC}">
              <c16:uniqueId val="{00000005-813A-414C-8EDF-CC25BEDDEBF0}"/>
            </c:ext>
          </c:extLst>
        </c:ser>
        <c:dLbls>
          <c:dLblPos val="t"/>
          <c:showLegendKey val="0"/>
          <c:showVal val="1"/>
          <c:showCatName val="0"/>
          <c:showSerName val="0"/>
          <c:showPercent val="0"/>
          <c:showBubbleSize val="0"/>
        </c:dLbls>
        <c:smooth val="0"/>
        <c:axId val="729233183"/>
        <c:axId val="729233599"/>
      </c:lineChart>
      <c:catAx>
        <c:axId val="72923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R"/>
          </a:p>
        </c:txPr>
        <c:crossAx val="729233599"/>
        <c:crosses val="autoZero"/>
        <c:auto val="1"/>
        <c:lblAlgn val="ctr"/>
        <c:lblOffset val="100"/>
        <c:noMultiLvlLbl val="0"/>
      </c:catAx>
      <c:valAx>
        <c:axId val="729233599"/>
        <c:scaling>
          <c:orientation val="minMax"/>
        </c:scaling>
        <c:delete val="0"/>
        <c:axPos val="l"/>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R"/>
          </a:p>
        </c:txPr>
        <c:crossAx val="729233183"/>
        <c:crosses val="autoZero"/>
        <c:crossBetween val="between"/>
      </c:valAx>
      <c:dTable>
        <c:showHorzBorder val="1"/>
        <c:showVertBorder val="1"/>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ormato oficial" ma:contentTypeID="0x01010087D4AA96139AD3498C577C3B24DA6BEF00A038AFC39D55DA4A825E58661B9E2E40" ma:contentTypeVersion="20" ma:contentTypeDescription="" ma:contentTypeScope="" ma:versionID="1a3ccb6aadcc24917a3f1734095e694c">
  <xsd:schema xmlns:xsd="http://www.w3.org/2001/XMLSchema" xmlns:xs="http://www.w3.org/2001/XMLSchema" xmlns:p="http://schemas.microsoft.com/office/2006/metadata/properties" xmlns:ns2="7170b6f3-b290-4c78-9379-9581a8b51104" xmlns:ns3="8a56ff76-225c-4154-9a1d-75cac4a5af42" xmlns:ns4="4f4ead7c-4846-46a9-b3e4-66d3d6970886" targetNamespace="http://schemas.microsoft.com/office/2006/metadata/properties" ma:root="true" ma:fieldsID="9a6122b214a8812ae2dca367f1d36402" ns2:_="" ns3:_="" ns4:_="">
    <xsd:import namespace="7170b6f3-b290-4c78-9379-9581a8b51104"/>
    <xsd:import namespace="8a56ff76-225c-4154-9a1d-75cac4a5af42"/>
    <xsd:import namespace="4f4ead7c-4846-46a9-b3e4-66d3d6970886"/>
    <xsd:element name="properties">
      <xsd:complexType>
        <xsd:sequence>
          <xsd:element name="documentManagement">
            <xsd:complexType>
              <xsd:all>
                <xsd:element ref="ns2:Aprobaci_x00f3_n_x0020_del_x0020_Plan" minOccurs="0"/>
                <xsd:element ref="ns2:Asignar_x0020_a" minOccurs="0"/>
                <xsd:element ref="ns2:Consecutivo_x0020_Relacionado" minOccurs="0"/>
                <xsd:element ref="ns2:Encargado" minOccurs="0"/>
                <xsd:element ref="ns2:Estado_x0020_del_x0020_tramite" minOccurs="0"/>
                <xsd:element ref="ns2:Fecha_x0020_Ingreso_x0020_Solicitud"/>
                <xsd:element ref="ns2:Objetivo_x0020_del_x0020_Informe_x0020_o_x0020_Investigaci_x00f3_n" minOccurs="0"/>
                <xsd:element ref="ns2:Oficio_x0020_de_x0020_Salida" minOccurs="0"/>
                <xsd:element ref="ns2:Plan_x0020_de_x0020_Trabajo" minOccurs="0"/>
                <xsd:element ref="ns2:Remitente" minOccurs="0"/>
                <xsd:element ref="ns2:Solicitante" minOccurs="0"/>
                <xsd:element ref="ns2:Tipo_x0020_de_x0020_Documento"/>
                <xsd:element ref="ns2:Comentarios" minOccurs="0"/>
                <xsd:element ref="ns2:A_x00f1_o" minOccurs="0"/>
                <xsd:element ref="ns2:EnLista_x003f_" minOccurs="0"/>
                <xsd:element ref="ns2:Despachado_x003f_" minOccurs="0"/>
                <xsd:element ref="ns3:AlertaGenerarConsecutivo"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0b6f3-b290-4c78-9379-9581a8b51104" elementFormDefault="qualified">
    <xsd:import namespace="http://schemas.microsoft.com/office/2006/documentManagement/types"/>
    <xsd:import namespace="http://schemas.microsoft.com/office/infopath/2007/PartnerControls"/>
    <xsd:element name="Aprobaci_x00f3_n_x0020_del_x0020_Plan" ma:index="2" nillable="true" ma:displayName="Aprobación del Plan" ma:default="0" ma:internalName="Aprobaci_x00f3_n_x0020_del_x0020_Plan">
      <xsd:simpleType>
        <xsd:restriction base="dms:Boolean"/>
      </xsd:simpleType>
    </xsd:element>
    <xsd:element name="Asignar_x0020_a" ma:index="3" nillable="true" ma:displayName="Asignar a" ma:list="UserInfo" ma:SharePointGroup="0" ma:internalName="Asignar_x0020_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secutivo_x0020_Relacionado" ma:index="4" nillable="true" ma:displayName="Consecutivo Relacionado" ma:description="Se refiere al número de consecutivo que se le asigna a la correspondencia entrante." ma:internalName="Consecutivo_x0020_Relacionado">
      <xsd:simpleType>
        <xsd:restriction base="dms:Text">
          <xsd:maxLength value="255"/>
        </xsd:restriction>
      </xsd:simpleType>
    </xsd:element>
    <xsd:element name="Encargado" ma:index="5" nillable="true" ma:displayName="Encargado" ma:internalName="Encargado">
      <xsd:simpleType>
        <xsd:restriction base="dms:Text">
          <xsd:maxLength value="255"/>
        </xsd:restriction>
      </xsd:simpleType>
    </xsd:element>
    <xsd:element name="Estado_x0020_del_x0020_tramite" ma:index="6" nillable="true" ma:displayName="Estado del tramite" ma:default="Elaboración respuesta" ma:format="RadioButtons" ma:internalName="Estado_x0020_del_x0020_tramite">
      <xsd:simpleType>
        <xsd:restriction base="dms:Choice">
          <xsd:enumeration value="Elaboración respuesta"/>
          <xsd:enumeration value="Consulta Asesoría Juridica"/>
          <xsd:enumeration value="Dirección División"/>
          <xsd:enumeration value="Dirección de Asesoría Jurídica"/>
          <xsd:enumeration value="Intendente"/>
          <xsd:enumeration value="Superintendente"/>
          <xsd:enumeration value="Despacho"/>
        </xsd:restriction>
      </xsd:simpleType>
    </xsd:element>
    <xsd:element name="Fecha_x0020_Ingreso_x0020_Solicitud" ma:index="7" ma:displayName="Fecha Ingreso Solicitud" ma:description="Se refiere a la fecha en que ingresó el trámite a la superintendencia (la de sello SUGESE) Formato: dd-mm-aa" ma:internalName="Fecha_x0020_Ingreso_x0020_Solicitud">
      <xsd:simpleType>
        <xsd:restriction base="dms:Text">
          <xsd:maxLength value="255"/>
        </xsd:restriction>
      </xsd:simpleType>
    </xsd:element>
    <xsd:element name="Objetivo_x0020_del_x0020_Informe_x0020_o_x0020_Investigaci_x00f3_n" ma:index="8" nillable="true" ma:displayName="Objetivo del Informe o Investigación" ma:default="" ma:internalName="Objetivo_x0020_del_x0020_Informe_x0020_o_x0020_Investigaci_x00f3_n">
      <xsd:simpleType>
        <xsd:restriction base="dms:Note">
          <xsd:maxLength value="255"/>
        </xsd:restriction>
      </xsd:simpleType>
    </xsd:element>
    <xsd:element name="Oficio_x0020_de_x0020_Salida" ma:index="9" nillable="true" ma:displayName="Oficio de Salida" ma:description="Oficio del Envío del documento" ma:internalName="Oficio_x0020_de_x0020_Salida">
      <xsd:simpleType>
        <xsd:restriction base="dms:Text">
          <xsd:maxLength value="255"/>
        </xsd:restriction>
      </xsd:simpleType>
    </xsd:element>
    <xsd:element name="Plan_x0020_de_x0020_Trabajo" ma:index="10" nillable="true" ma:displayName="Plan de Trabajo" ma:internalName="Plan_x0020_de_x0020_Trabajo">
      <xsd:simpleType>
        <xsd:restriction base="dms:Note">
          <xsd:maxLength value="255"/>
        </xsd:restriction>
      </xsd:simpleType>
    </xsd:element>
    <xsd:element name="Remitente" ma:index="11" nillable="true" ma:displayName="Remitente" ma:description="Persona que envía la nota que genera el documento que se está creando." ma:internalName="Remitente">
      <xsd:simpleType>
        <xsd:restriction base="dms:Text">
          <xsd:maxLength value="255"/>
        </xsd:restriction>
      </xsd:simpleType>
    </xsd:element>
    <xsd:element name="Solicitante" ma:index="12" nillable="true" ma:displayName="Solicitante" ma:default="" ma:description="Persona o entidad que dirige la consulta." ma:internalName="Solicitante">
      <xsd:simpleType>
        <xsd:restriction base="dms:Text">
          <xsd:maxLength value="255"/>
        </xsd:restriction>
      </xsd:simpleType>
    </xsd:element>
    <xsd:element name="Tipo_x0020_de_x0020_Documento" ma:index="13" ma:displayName="Tipo de Documento" ma:default="Nota de respuesta" ma:description="Se refiere a si es una respuest o un informe" ma:format="RadioButtons" ma:internalName="Tipo_x0020_de_x0020_Documento">
      <xsd:simpleType>
        <xsd:restriction base="dms:Choice">
          <xsd:enumeration value="Nota de respuesta"/>
          <xsd:enumeration value="Prevención"/>
          <xsd:enumeration value="Informe"/>
          <xsd:enumeration value="Constancia"/>
          <xsd:enumeration value="Certificación"/>
          <xsd:enumeration value="Correo Electrónico"/>
          <xsd:enumeration value="Otro"/>
        </xsd:restriction>
      </xsd:simpleType>
    </xsd:element>
    <xsd:element name="Comentarios" ma:index="14" nillable="true" ma:displayName="Comentarios" ma:internalName="Comentarios">
      <xsd:simpleType>
        <xsd:restriction base="dms:Note">
          <xsd:maxLength value="255"/>
        </xsd:restriction>
      </xsd:simpleType>
    </xsd:element>
    <xsd:element name="A_x00f1_o" ma:index="15" nillable="true" ma:displayName="Año" ma:description="Año en que se hace la consulta" ma:internalName="A_x00f1_o">
      <xsd:simpleType>
        <xsd:restriction base="dms:Text">
          <xsd:maxLength value="255"/>
        </xsd:restriction>
      </xsd:simpleType>
    </xsd:element>
    <xsd:element name="EnLista_x003f_" ma:index="16" nillable="true" ma:displayName="EnLista?" ma:default="0" ma:internalName="EnLista_x003f_">
      <xsd:simpleType>
        <xsd:restriction base="dms:Boolean"/>
      </xsd:simpleType>
    </xsd:element>
    <xsd:element name="Despachado_x003f_" ma:index="17" nillable="true" ma:displayName="Despachado?" ma:default="0" ma:internalName="Despach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56ff76-225c-4154-9a1d-75cac4a5af42" elementFormDefault="qualified">
    <xsd:import namespace="http://schemas.microsoft.com/office/2006/documentManagement/types"/>
    <xsd:import namespace="http://schemas.microsoft.com/office/infopath/2007/PartnerControls"/>
    <xsd:element name="AlertaGenerarConsecutivo" ma:index="30" nillable="true" ma:displayName="AlertaGenerarConsecutivo" ma:internalName="AlertaGenerarConsecutivo">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4ead7c-4846-46a9-b3e4-66d3d6970886" elementFormDefault="qualified">
    <xsd:import namespace="http://schemas.microsoft.com/office/2006/documentManagement/types"/>
    <xsd:import namespace="http://schemas.microsoft.com/office/infopath/2007/PartnerControls"/>
    <xsd:element name="SharedWithUsers" ma:index="3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ncargado xmlns="7170b6f3-b290-4c78-9379-9581a8b51104">acunasc; cambroneroam</Encargado>
    <Oficio_x0020_de_x0020_Salida xmlns="7170b6f3-b290-4c78-9379-9581a8b51104" xsi:nil="true"/>
    <Comentarios xmlns="7170b6f3-b290-4c78-9379-9581a8b51104" xsi:nil="true"/>
    <Asignar_x0020_a xmlns="7170b6f3-b290-4c78-9379-9581a8b51104">
      <UserInfo>
        <DisplayName/>
        <AccountId xsi:nil="true"/>
        <AccountType/>
      </UserInfo>
    </Asignar_x0020_a>
    <AlertaGenerarConsecutivo xmlns="8a56ff76-225c-4154-9a1d-75cac4a5af42">
      <Url xsi:nil="true"/>
      <Description xsi:nil="true"/>
    </AlertaGenerarConsecutivo>
    <Objetivo_x0020_del_x0020_Informe_x0020_o_x0020_Investigaci_x00f3_n xmlns="7170b6f3-b290-4c78-9379-9581a8b51104" xsi:nil="true"/>
    <Fecha_x0020_Ingreso_x0020_Solicitud xmlns="7170b6f3-b290-4c78-9379-9581a8b51104">30-01-24</Fecha_x0020_Ingreso_x0020_Solicitud>
    <Tipo_x0020_de_x0020_Documento xmlns="7170b6f3-b290-4c78-9379-9581a8b51104">Informe</Tipo_x0020_de_x0020_Documento>
    <EnLista_x003f_ xmlns="7170b6f3-b290-4c78-9379-9581a8b51104">false</EnLista_x003f_>
    <Despachado_x003f_ xmlns="7170b6f3-b290-4c78-9379-9581a8b51104">false</Despachado_x003f_>
    <Aprobaci_x00f3_n_x0020_del_x0020_Plan xmlns="7170b6f3-b290-4c78-9379-9581a8b51104">false</Aprobaci_x00f3_n_x0020_del_x0020_Plan>
    <Estado_x0020_del_x0020_tramite xmlns="7170b6f3-b290-4c78-9379-9581a8b51104">Elaboración respuesta</Estado_x0020_del_x0020_tramite>
    <Solicitante xmlns="7170b6f3-b290-4c78-9379-9581a8b51104">ASSAL</Solicitante>
    <Consecutivo_x0020_Relacionado xmlns="7170b6f3-b290-4c78-9379-9581a8b51104" xsi:nil="true"/>
    <A_x00f1_o xmlns="7170b6f3-b290-4c78-9379-9581a8b51104">2024</A_x00f1_o>
    <Remitente xmlns="7170b6f3-b290-4c78-9379-9581a8b51104" xsi:nil="true"/>
    <Plan_x0020_de_x0020_Trabajo xmlns="7170b6f3-b290-4c78-9379-9581a8b511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DBEFC7-3322-4004-A1A0-0CF46742D9B8}">
  <ds:schemaRefs>
    <ds:schemaRef ds:uri="http://schemas.openxmlformats.org/officeDocument/2006/bibliography"/>
  </ds:schemaRefs>
</ds:datastoreItem>
</file>

<file path=customXml/itemProps2.xml><?xml version="1.0" encoding="utf-8"?>
<ds:datastoreItem xmlns:ds="http://schemas.openxmlformats.org/officeDocument/2006/customXml" ds:itemID="{EBD94237-B5C6-4237-B324-70DFF82EB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0b6f3-b290-4c78-9379-9581a8b51104"/>
    <ds:schemaRef ds:uri="8a56ff76-225c-4154-9a1d-75cac4a5af42"/>
    <ds:schemaRef ds:uri="4f4ead7c-4846-46a9-b3e4-66d3d697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B555E1-D816-4402-9D49-8A5D54E0A34C}">
  <ds:schemaRefs>
    <ds:schemaRef ds:uri="4f4ead7c-4846-46a9-b3e4-66d3d6970886"/>
    <ds:schemaRef ds:uri="8a56ff76-225c-4154-9a1d-75cac4a5af42"/>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http://purl.org/dc/terms/"/>
    <ds:schemaRef ds:uri="http://schemas.microsoft.com/office/2006/documentManagement/types"/>
    <ds:schemaRef ds:uri="7170b6f3-b290-4c78-9379-9581a8b51104"/>
    <ds:schemaRef ds:uri="http://www.w3.org/XML/1998/namespace"/>
    <ds:schemaRef ds:uri="http://purl.org/dc/dcmitype/"/>
  </ds:schemaRefs>
</ds:datastoreItem>
</file>

<file path=customXml/itemProps4.xml><?xml version="1.0" encoding="utf-8"?>
<ds:datastoreItem xmlns:ds="http://schemas.openxmlformats.org/officeDocument/2006/customXml" ds:itemID="{02F2186C-DB5A-44F1-A9EC-EE458FE14C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26</Pages>
  <Words>4473</Words>
  <Characters>24603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ACUNA SOLANO CINTHYA VANESSA</dc:creator>
  <cp:keywords/>
  <dc:description/>
  <cp:lastModifiedBy>CAMBRONERO ARIAS MARIA DE LOS ANGELES</cp:lastModifiedBy>
  <cp:revision>93</cp:revision>
  <dcterms:created xsi:type="dcterms:W3CDTF">2024-01-09T14:48:00Z</dcterms:created>
  <dcterms:modified xsi:type="dcterms:W3CDTF">2024-01-26T21:47:00Z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0x01010087D4AA96139AD3498C577C3B24DA6BEF00A038AFC39D55DA4A825E58661B9E2E40</vt:lpwstr>
  </property>
</Properties>
</file>