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8" w:rsidRPr="005441A4" w:rsidRDefault="00201216" w:rsidP="00CA34E8">
      <w:pPr>
        <w:spacing w:after="0" w:line="240" w:lineRule="auto"/>
        <w:jc w:val="center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b/>
          <w:color w:val="333333"/>
          <w:u w:val="single"/>
          <w:lang w:val="es-ES"/>
        </w:rPr>
        <w:t>Sesión 6: Estudio de caso - R</w:t>
      </w:r>
      <w:r w:rsidR="00320098" w:rsidRPr="00320098">
        <w:rPr>
          <w:rFonts w:ascii="Arial" w:hAnsi="Arial" w:cs="Arial"/>
          <w:b/>
          <w:color w:val="333333"/>
          <w:u w:val="single"/>
          <w:lang w:val="es-ES"/>
        </w:rPr>
        <w:t>easeguros</w:t>
      </w:r>
      <w:r w:rsidR="00320098" w:rsidRPr="00320098">
        <w:rPr>
          <w:rFonts w:ascii="Arial" w:hAnsi="Arial" w:cs="Arial"/>
          <w:b/>
          <w:color w:val="333333"/>
          <w:u w:val="single"/>
          <w:lang w:val="es-ES"/>
        </w:rPr>
        <w:br/>
        <w:t>Transferencia de</w:t>
      </w:r>
      <w:r w:rsidR="00D9740D">
        <w:rPr>
          <w:rFonts w:ascii="Arial" w:hAnsi="Arial" w:cs="Arial"/>
          <w:b/>
          <w:color w:val="333333"/>
          <w:u w:val="single"/>
          <w:lang w:val="es-ES"/>
        </w:rPr>
        <w:t xml:space="preserve"> riesgos al mercado de capital</w:t>
      </w:r>
      <w:r w:rsidR="00320098" w:rsidRPr="00320098">
        <w:rPr>
          <w:rFonts w:ascii="Arial" w:hAnsi="Arial" w:cs="Arial"/>
          <w:b/>
          <w:color w:val="333333"/>
          <w:u w:val="single"/>
          <w:lang w:val="es-ES"/>
        </w:rPr>
        <w:t xml:space="preserve"> (ICP13.6)</w:t>
      </w:r>
      <w:r w:rsidR="005441A4" w:rsidRPr="005441A4">
        <w:rPr>
          <w:rStyle w:val="Refdenotaalpie"/>
          <w:rFonts w:ascii="Arial" w:hAnsi="Arial" w:cs="Arial"/>
          <w:b/>
          <w:color w:val="333333"/>
          <w:lang w:val="es-ES"/>
        </w:rPr>
        <w:footnoteReference w:id="1"/>
      </w:r>
    </w:p>
    <w:p w:rsidR="00CA34E8" w:rsidRDefault="00CA34E8" w:rsidP="00CA34E8">
      <w:pPr>
        <w:pStyle w:val="Prrafodelista"/>
        <w:ind w:left="360"/>
        <w:jc w:val="both"/>
        <w:rPr>
          <w:rFonts w:ascii="Arial" w:hAnsi="Arial" w:cs="Arial"/>
          <w:color w:val="333333"/>
          <w:lang w:val="es-ES"/>
        </w:rPr>
      </w:pPr>
    </w:p>
    <w:p w:rsidR="00320098" w:rsidRPr="003B6947" w:rsidRDefault="00320098" w:rsidP="003B6947">
      <w:pPr>
        <w:jc w:val="both"/>
        <w:rPr>
          <w:rFonts w:ascii="Arial" w:hAnsi="Arial" w:cs="Arial"/>
          <w:color w:val="333333"/>
          <w:lang w:val="es-ES"/>
        </w:rPr>
      </w:pPr>
      <w:r w:rsidRPr="00201216">
        <w:rPr>
          <w:rFonts w:ascii="Arial" w:hAnsi="Arial" w:cs="Arial"/>
          <w:color w:val="333333"/>
          <w:lang w:val="es-ES"/>
        </w:rPr>
        <w:t>El Departamento de Seguros de la Agencia de Supervisión de Servicios Financieros (</w:t>
      </w:r>
      <w:r w:rsidR="00201216">
        <w:rPr>
          <w:rFonts w:ascii="Arial" w:hAnsi="Arial" w:cs="Arial"/>
          <w:color w:val="333333"/>
          <w:lang w:val="es-ES"/>
        </w:rPr>
        <w:t>ASSF</w:t>
      </w:r>
      <w:r w:rsidRPr="00201216">
        <w:rPr>
          <w:rFonts w:ascii="Arial" w:hAnsi="Arial" w:cs="Arial"/>
          <w:color w:val="333333"/>
          <w:lang w:val="es-ES"/>
        </w:rPr>
        <w:t xml:space="preserve">) de su país ha </w:t>
      </w:r>
      <w:r w:rsidR="0017577E" w:rsidRPr="00201216">
        <w:rPr>
          <w:rFonts w:ascii="Arial" w:hAnsi="Arial" w:cs="Arial"/>
          <w:color w:val="333333"/>
          <w:lang w:val="es-ES"/>
        </w:rPr>
        <w:t>examinado</w:t>
      </w:r>
      <w:r w:rsidRPr="00201216">
        <w:rPr>
          <w:rFonts w:ascii="Arial" w:hAnsi="Arial" w:cs="Arial"/>
          <w:color w:val="333333"/>
          <w:lang w:val="es-ES"/>
        </w:rPr>
        <w:t xml:space="preserve"> la s</w:t>
      </w:r>
      <w:r w:rsidR="002A2C18">
        <w:rPr>
          <w:rFonts w:ascii="Arial" w:hAnsi="Arial" w:cs="Arial"/>
          <w:color w:val="333333"/>
          <w:lang w:val="es-ES"/>
        </w:rPr>
        <w:t xml:space="preserve">olicitud de licencia de ABC Re, cuyas </w:t>
      </w:r>
      <w:r w:rsidRPr="00201216">
        <w:rPr>
          <w:rFonts w:ascii="Arial" w:hAnsi="Arial" w:cs="Arial"/>
          <w:color w:val="333333"/>
          <w:lang w:val="es-ES"/>
        </w:rPr>
        <w:t xml:space="preserve">conclusiones se resumen a </w:t>
      </w:r>
      <w:r w:rsidR="0017577E" w:rsidRPr="00201216">
        <w:rPr>
          <w:rFonts w:ascii="Arial" w:hAnsi="Arial" w:cs="Arial"/>
          <w:color w:val="333333"/>
          <w:lang w:val="es-ES"/>
        </w:rPr>
        <w:t>continuación. En su calidad de D</w:t>
      </w:r>
      <w:r w:rsidR="006C1277">
        <w:rPr>
          <w:rFonts w:ascii="Arial" w:hAnsi="Arial" w:cs="Arial"/>
          <w:color w:val="333333"/>
          <w:lang w:val="es-ES"/>
        </w:rPr>
        <w:t>irector de FSSA, revise el resumen recibido</w:t>
      </w:r>
      <w:r w:rsidRPr="00201216">
        <w:rPr>
          <w:rFonts w:ascii="Arial" w:hAnsi="Arial" w:cs="Arial"/>
          <w:color w:val="333333"/>
          <w:lang w:val="es-ES"/>
        </w:rPr>
        <w:t xml:space="preserve"> y </w:t>
      </w:r>
      <w:r w:rsidR="0017577E" w:rsidRPr="00201216">
        <w:rPr>
          <w:rFonts w:ascii="Arial" w:hAnsi="Arial" w:cs="Arial"/>
          <w:color w:val="333333"/>
          <w:lang w:val="es-ES"/>
        </w:rPr>
        <w:t>liste</w:t>
      </w:r>
      <w:r w:rsidRPr="00201216">
        <w:rPr>
          <w:rFonts w:ascii="Arial" w:hAnsi="Arial" w:cs="Arial"/>
          <w:color w:val="333333"/>
          <w:lang w:val="es-ES"/>
        </w:rPr>
        <w:t xml:space="preserve"> </w:t>
      </w:r>
      <w:r w:rsidR="00C64C3F">
        <w:rPr>
          <w:rFonts w:ascii="Arial" w:hAnsi="Arial" w:cs="Arial"/>
          <w:color w:val="333333"/>
          <w:lang w:val="es-ES"/>
        </w:rPr>
        <w:t>sus</w:t>
      </w:r>
      <w:r w:rsidRPr="00201216">
        <w:rPr>
          <w:rFonts w:ascii="Arial" w:hAnsi="Arial" w:cs="Arial"/>
          <w:color w:val="333333"/>
          <w:lang w:val="es-ES"/>
        </w:rPr>
        <w:t xml:space="preserve"> principales </w:t>
      </w:r>
      <w:r w:rsidR="006C1277" w:rsidRPr="00201216">
        <w:rPr>
          <w:rFonts w:ascii="Arial" w:hAnsi="Arial" w:cs="Arial"/>
          <w:color w:val="333333"/>
          <w:lang w:val="es-ES"/>
        </w:rPr>
        <w:t xml:space="preserve">conclusiones </w:t>
      </w:r>
      <w:r w:rsidRPr="00201216">
        <w:rPr>
          <w:rFonts w:ascii="Arial" w:hAnsi="Arial" w:cs="Arial"/>
          <w:color w:val="333333"/>
          <w:lang w:val="es-ES"/>
        </w:rPr>
        <w:t>desde el</w:t>
      </w:r>
      <w:r w:rsidR="003B6947">
        <w:rPr>
          <w:rFonts w:ascii="Arial" w:hAnsi="Arial" w:cs="Arial"/>
          <w:color w:val="333333"/>
          <w:lang w:val="es-ES"/>
        </w:rPr>
        <w:t xml:space="preserve"> punto de vista de supervisión.</w:t>
      </w:r>
    </w:p>
    <w:p w:rsidR="00201216" w:rsidRDefault="00320098" w:rsidP="00320098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r w:rsidRPr="00320098">
        <w:rPr>
          <w:rFonts w:ascii="Arial" w:hAnsi="Arial" w:cs="Arial"/>
          <w:color w:val="333333"/>
          <w:lang w:val="es-ES"/>
        </w:rPr>
        <w:t xml:space="preserve">Re ABC se </w:t>
      </w:r>
      <w:r>
        <w:rPr>
          <w:rFonts w:ascii="Arial" w:hAnsi="Arial" w:cs="Arial"/>
          <w:color w:val="333333"/>
          <w:lang w:val="es-ES"/>
        </w:rPr>
        <w:t>constituirá</w:t>
      </w:r>
      <w:r w:rsidRPr="00320098">
        <w:rPr>
          <w:rFonts w:ascii="Arial" w:hAnsi="Arial" w:cs="Arial"/>
          <w:color w:val="333333"/>
          <w:lang w:val="es-ES"/>
        </w:rPr>
        <w:t xml:space="preserve"> como una </w:t>
      </w:r>
      <w:r w:rsidR="00D9740D">
        <w:rPr>
          <w:rFonts w:ascii="Arial" w:hAnsi="Arial" w:cs="Arial"/>
          <w:color w:val="333333"/>
          <w:lang w:val="es-ES"/>
        </w:rPr>
        <w:t xml:space="preserve">Entidad con Fines Específicos (SPE, por sus siglas en inglés). </w:t>
      </w:r>
      <w:r>
        <w:rPr>
          <w:rFonts w:ascii="Arial" w:hAnsi="Arial" w:cs="Arial"/>
          <w:color w:val="333333"/>
          <w:lang w:val="es-ES"/>
        </w:rPr>
        <w:t>ABC Re se establecerá</w:t>
      </w:r>
      <w:r w:rsidRPr="00320098">
        <w:rPr>
          <w:rFonts w:ascii="Arial" w:hAnsi="Arial" w:cs="Arial"/>
          <w:color w:val="333333"/>
          <w:lang w:val="es-ES"/>
        </w:rPr>
        <w:t xml:space="preserve"> para facilitar la transferencia de riesgo de se</w:t>
      </w:r>
      <w:r w:rsidR="00D9740D">
        <w:rPr>
          <w:rFonts w:ascii="Arial" w:hAnsi="Arial" w:cs="Arial"/>
          <w:color w:val="333333"/>
          <w:lang w:val="es-ES"/>
        </w:rPr>
        <w:t>guro a los mercados de capital</w:t>
      </w:r>
      <w:r w:rsidRPr="00320098">
        <w:rPr>
          <w:rFonts w:ascii="Arial" w:hAnsi="Arial" w:cs="Arial"/>
          <w:color w:val="333333"/>
          <w:lang w:val="es-ES"/>
        </w:rPr>
        <w:t xml:space="preserve"> mediante la emisi</w:t>
      </w:r>
      <w:r>
        <w:rPr>
          <w:rFonts w:ascii="Arial" w:hAnsi="Arial" w:cs="Arial"/>
          <w:color w:val="333333"/>
          <w:lang w:val="es-ES"/>
        </w:rPr>
        <w:t xml:space="preserve">ón de bonos </w:t>
      </w:r>
      <w:r w:rsidR="004774A5">
        <w:rPr>
          <w:rFonts w:ascii="Arial" w:hAnsi="Arial" w:cs="Arial"/>
          <w:color w:val="333333"/>
          <w:lang w:val="es-ES"/>
        </w:rPr>
        <w:t xml:space="preserve">catastróficos </w:t>
      </w:r>
      <w:r>
        <w:rPr>
          <w:rFonts w:ascii="Arial" w:hAnsi="Arial" w:cs="Arial"/>
          <w:color w:val="333333"/>
          <w:lang w:val="es-ES"/>
        </w:rPr>
        <w:t>(los B</w:t>
      </w:r>
      <w:r w:rsidRPr="00320098">
        <w:rPr>
          <w:rFonts w:ascii="Arial" w:hAnsi="Arial" w:cs="Arial"/>
          <w:color w:val="333333"/>
          <w:lang w:val="es-ES"/>
        </w:rPr>
        <w:t xml:space="preserve">onos). Los Bonos serán utilizados para financiar un </w:t>
      </w:r>
      <w:r w:rsidR="009F74A7">
        <w:rPr>
          <w:rFonts w:ascii="Arial" w:hAnsi="Arial" w:cs="Arial"/>
          <w:color w:val="333333"/>
          <w:lang w:val="es-ES"/>
        </w:rPr>
        <w:t xml:space="preserve">único </w:t>
      </w:r>
      <w:r w:rsidRPr="00320098">
        <w:rPr>
          <w:rFonts w:ascii="Arial" w:hAnsi="Arial" w:cs="Arial"/>
          <w:color w:val="333333"/>
          <w:lang w:val="es-ES"/>
        </w:rPr>
        <w:t>contrato de reaseguro</w:t>
      </w:r>
      <w:r>
        <w:rPr>
          <w:rFonts w:ascii="Arial" w:hAnsi="Arial" w:cs="Arial"/>
          <w:color w:val="333333"/>
          <w:lang w:val="es-ES"/>
        </w:rPr>
        <w:t xml:space="preserve"> (el Contrato de R</w:t>
      </w:r>
      <w:r w:rsidRPr="00320098">
        <w:rPr>
          <w:rFonts w:ascii="Arial" w:hAnsi="Arial" w:cs="Arial"/>
          <w:color w:val="333333"/>
          <w:lang w:val="es-ES"/>
        </w:rPr>
        <w:t xml:space="preserve">easeguro) </w:t>
      </w:r>
      <w:r>
        <w:rPr>
          <w:rFonts w:ascii="Arial" w:hAnsi="Arial" w:cs="Arial"/>
          <w:color w:val="333333"/>
          <w:lang w:val="es-ES"/>
        </w:rPr>
        <w:t>a</w:t>
      </w:r>
      <w:r w:rsidRPr="00320098">
        <w:rPr>
          <w:rFonts w:ascii="Arial" w:hAnsi="Arial" w:cs="Arial"/>
          <w:color w:val="333333"/>
          <w:lang w:val="es-ES"/>
        </w:rPr>
        <w:t xml:space="preserve"> celebra</w:t>
      </w:r>
      <w:r>
        <w:rPr>
          <w:rFonts w:ascii="Arial" w:hAnsi="Arial" w:cs="Arial"/>
          <w:color w:val="333333"/>
          <w:lang w:val="es-ES"/>
        </w:rPr>
        <w:t>rse</w:t>
      </w:r>
      <w:r w:rsidR="009F74A7">
        <w:rPr>
          <w:rFonts w:ascii="Arial" w:hAnsi="Arial" w:cs="Arial"/>
          <w:color w:val="333333"/>
          <w:lang w:val="es-ES"/>
        </w:rPr>
        <w:t xml:space="preserve"> entre ABC </w:t>
      </w:r>
      <w:r w:rsidRPr="00320098">
        <w:rPr>
          <w:rFonts w:ascii="Arial" w:hAnsi="Arial" w:cs="Arial"/>
          <w:color w:val="333333"/>
          <w:lang w:val="es-ES"/>
        </w:rPr>
        <w:t xml:space="preserve">Re </w:t>
      </w:r>
      <w:r w:rsidR="009F74A7">
        <w:rPr>
          <w:rFonts w:ascii="Arial" w:hAnsi="Arial" w:cs="Arial"/>
          <w:color w:val="333333"/>
          <w:lang w:val="es-ES"/>
        </w:rPr>
        <w:t xml:space="preserve">y la </w:t>
      </w:r>
      <w:r w:rsidR="00CA34E8">
        <w:rPr>
          <w:rFonts w:ascii="Arial" w:hAnsi="Arial" w:cs="Arial"/>
          <w:color w:val="333333"/>
          <w:lang w:val="es-ES"/>
        </w:rPr>
        <w:t>Compañía</w:t>
      </w:r>
      <w:r w:rsidR="009F74A7">
        <w:rPr>
          <w:rFonts w:ascii="Arial" w:hAnsi="Arial" w:cs="Arial"/>
          <w:color w:val="333333"/>
          <w:lang w:val="es-ES"/>
        </w:rPr>
        <w:t xml:space="preserve"> Aseguradora de </w:t>
      </w:r>
      <w:r w:rsidRPr="00320098">
        <w:rPr>
          <w:rFonts w:ascii="Arial" w:hAnsi="Arial" w:cs="Arial"/>
          <w:color w:val="333333"/>
          <w:lang w:val="es-ES"/>
        </w:rPr>
        <w:t>Terremoto</w:t>
      </w:r>
      <w:r w:rsidR="009F74A7">
        <w:rPr>
          <w:rFonts w:ascii="Arial" w:hAnsi="Arial" w:cs="Arial"/>
          <w:color w:val="333333"/>
          <w:lang w:val="es-ES"/>
        </w:rPr>
        <w:t>s y</w:t>
      </w:r>
      <w:r w:rsidR="00CA34E8">
        <w:rPr>
          <w:rFonts w:ascii="Arial" w:hAnsi="Arial" w:cs="Arial"/>
          <w:color w:val="333333"/>
          <w:lang w:val="es-ES"/>
        </w:rPr>
        <w:t xml:space="preserve"> Catástrofes </w:t>
      </w:r>
      <w:r w:rsidRPr="00320098">
        <w:rPr>
          <w:rFonts w:ascii="Arial" w:hAnsi="Arial" w:cs="Arial"/>
          <w:color w:val="333333"/>
          <w:lang w:val="es-ES"/>
        </w:rPr>
        <w:t>(</w:t>
      </w:r>
      <w:proofErr w:type="spellStart"/>
      <w:r w:rsidR="00F34800">
        <w:rPr>
          <w:rFonts w:ascii="Arial" w:hAnsi="Arial" w:cs="Arial"/>
          <w:color w:val="333333"/>
          <w:lang w:val="es-ES"/>
        </w:rPr>
        <w:t>C</w:t>
      </w:r>
      <w:r w:rsidR="00CA34E8">
        <w:rPr>
          <w:rFonts w:ascii="Arial" w:hAnsi="Arial" w:cs="Arial"/>
          <w:color w:val="333333"/>
          <w:lang w:val="es-ES"/>
        </w:rPr>
        <w:t>AT</w:t>
      </w:r>
      <w:r w:rsidR="00F34800">
        <w:rPr>
          <w:rFonts w:ascii="Arial" w:hAnsi="Arial" w:cs="Arial"/>
          <w:color w:val="333333"/>
          <w:lang w:val="es-ES"/>
        </w:rPr>
        <w:t>y</w:t>
      </w:r>
      <w:r w:rsidR="00CA34E8">
        <w:rPr>
          <w:rFonts w:ascii="Arial" w:hAnsi="Arial" w:cs="Arial"/>
          <w:color w:val="333333"/>
          <w:lang w:val="es-ES"/>
        </w:rPr>
        <w:t>C</w:t>
      </w:r>
      <w:proofErr w:type="spellEnd"/>
      <w:r w:rsidR="00CA34E8">
        <w:rPr>
          <w:rFonts w:ascii="Arial" w:hAnsi="Arial" w:cs="Arial"/>
          <w:color w:val="333333"/>
          <w:lang w:val="es-ES"/>
        </w:rPr>
        <w:t>).</w:t>
      </w:r>
      <w:r w:rsidRPr="00320098">
        <w:rPr>
          <w:rFonts w:ascii="Arial" w:hAnsi="Arial" w:cs="Arial"/>
          <w:color w:val="333333"/>
          <w:lang w:val="es-ES"/>
        </w:rPr>
        <w:t xml:space="preserve"> </w:t>
      </w:r>
      <w:r w:rsidR="00201216">
        <w:rPr>
          <w:rFonts w:ascii="Arial" w:hAnsi="Arial" w:cs="Arial"/>
          <w:color w:val="333333"/>
          <w:lang w:val="es-ES"/>
        </w:rPr>
        <w:t>A</w:t>
      </w:r>
      <w:r w:rsidR="00201216" w:rsidRPr="00320098">
        <w:rPr>
          <w:rFonts w:ascii="Arial" w:hAnsi="Arial" w:cs="Arial"/>
          <w:color w:val="333333"/>
          <w:lang w:val="es-ES"/>
        </w:rPr>
        <w:t>l final de este documento</w:t>
      </w:r>
      <w:r w:rsidR="00201216">
        <w:rPr>
          <w:rFonts w:ascii="Arial" w:hAnsi="Arial" w:cs="Arial"/>
          <w:color w:val="333333"/>
          <w:lang w:val="es-ES"/>
        </w:rPr>
        <w:t xml:space="preserve"> se proporciona una</w:t>
      </w:r>
      <w:r w:rsidRPr="00320098">
        <w:rPr>
          <w:rFonts w:ascii="Arial" w:hAnsi="Arial" w:cs="Arial"/>
          <w:color w:val="333333"/>
          <w:lang w:val="es-ES"/>
        </w:rPr>
        <w:t xml:space="preserve"> representación gráfica de la </w:t>
      </w:r>
      <w:r w:rsidR="00201216">
        <w:rPr>
          <w:rFonts w:ascii="Arial" w:hAnsi="Arial" w:cs="Arial"/>
          <w:color w:val="333333"/>
          <w:lang w:val="es-ES"/>
        </w:rPr>
        <w:t>estructura de la operación</w:t>
      </w:r>
      <w:r w:rsidRPr="00320098">
        <w:rPr>
          <w:rFonts w:ascii="Arial" w:hAnsi="Arial" w:cs="Arial"/>
          <w:color w:val="333333"/>
          <w:lang w:val="es-ES"/>
        </w:rPr>
        <w:t>.</w:t>
      </w:r>
    </w:p>
    <w:p w:rsidR="00201216" w:rsidRPr="00201216" w:rsidRDefault="00201216" w:rsidP="00201216">
      <w:pPr>
        <w:pStyle w:val="Prrafodelista"/>
        <w:rPr>
          <w:rFonts w:ascii="Arial" w:hAnsi="Arial" w:cs="Arial"/>
          <w:color w:val="333333"/>
          <w:lang w:val="es-ES"/>
        </w:rPr>
      </w:pPr>
    </w:p>
    <w:p w:rsidR="00A87A1E" w:rsidRDefault="00201216" w:rsidP="00320098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El contrato de Reaseguro cubrirá</w:t>
      </w:r>
      <w:r w:rsidR="00320098" w:rsidRPr="00201216">
        <w:rPr>
          <w:rFonts w:ascii="Arial" w:hAnsi="Arial" w:cs="Arial"/>
          <w:color w:val="333333"/>
          <w:lang w:val="es-ES"/>
        </w:rPr>
        <w:t xml:space="preserve"> riesgos </w:t>
      </w:r>
      <w:r>
        <w:rPr>
          <w:rFonts w:ascii="Arial" w:hAnsi="Arial" w:cs="Arial"/>
          <w:color w:val="333333"/>
          <w:lang w:val="es-ES"/>
        </w:rPr>
        <w:t>a la</w:t>
      </w:r>
      <w:r w:rsidR="00320098" w:rsidRPr="00201216">
        <w:rPr>
          <w:rFonts w:ascii="Arial" w:hAnsi="Arial" w:cs="Arial"/>
          <w:color w:val="333333"/>
          <w:lang w:val="es-ES"/>
        </w:rPr>
        <w:t xml:space="preserve"> propiedad</w:t>
      </w:r>
      <w:r w:rsidR="00104CA1">
        <w:rPr>
          <w:rFonts w:ascii="Arial" w:hAnsi="Arial" w:cs="Arial"/>
          <w:color w:val="333333"/>
          <w:lang w:val="es-ES"/>
        </w:rPr>
        <w:t>,</w:t>
      </w:r>
      <w:r w:rsidR="00320098" w:rsidRPr="00201216">
        <w:rPr>
          <w:rFonts w:ascii="Arial" w:hAnsi="Arial" w:cs="Arial"/>
          <w:color w:val="333333"/>
          <w:lang w:val="es-ES"/>
        </w:rPr>
        <w:t xml:space="preserve"> asegurados por 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  <w:r w:rsidR="00320098" w:rsidRPr="00201216">
        <w:rPr>
          <w:rFonts w:ascii="Arial" w:hAnsi="Arial" w:cs="Arial"/>
          <w:color w:val="333333"/>
          <w:lang w:val="es-ES"/>
        </w:rPr>
        <w:t xml:space="preserve">. </w:t>
      </w:r>
      <w:r>
        <w:rPr>
          <w:rFonts w:ascii="Arial" w:hAnsi="Arial" w:cs="Arial"/>
          <w:color w:val="333333"/>
          <w:lang w:val="es-ES"/>
        </w:rPr>
        <w:t>De acuerdo</w:t>
      </w:r>
      <w:r w:rsidRPr="00201216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hAnsi="Arial" w:cs="Arial"/>
          <w:color w:val="333333"/>
          <w:lang w:val="es-ES"/>
        </w:rPr>
        <w:t xml:space="preserve">con </w:t>
      </w:r>
      <w:r w:rsidRPr="00201216">
        <w:rPr>
          <w:rFonts w:ascii="Arial" w:hAnsi="Arial" w:cs="Arial"/>
          <w:color w:val="333333"/>
          <w:lang w:val="es-ES"/>
        </w:rPr>
        <w:t xml:space="preserve">las leyes de su país 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  <w:r w:rsidRPr="00201216">
        <w:rPr>
          <w:rFonts w:ascii="Arial" w:hAnsi="Arial" w:cs="Arial"/>
          <w:color w:val="333333"/>
          <w:lang w:val="es-ES"/>
        </w:rPr>
        <w:t xml:space="preserve"> </w:t>
      </w:r>
      <w:r w:rsidR="00320098" w:rsidRPr="00201216">
        <w:rPr>
          <w:rFonts w:ascii="Arial" w:hAnsi="Arial" w:cs="Arial"/>
          <w:color w:val="333333"/>
          <w:lang w:val="es-ES"/>
        </w:rPr>
        <w:t xml:space="preserve">es una entidad estatal y cuenta con una licencia de seguros de la </w:t>
      </w:r>
      <w:r>
        <w:rPr>
          <w:rFonts w:ascii="Arial" w:hAnsi="Arial" w:cs="Arial"/>
          <w:color w:val="333333"/>
          <w:lang w:val="es-ES"/>
        </w:rPr>
        <w:t>ASSF</w:t>
      </w:r>
      <w:r w:rsidR="00320098" w:rsidRPr="00201216">
        <w:rPr>
          <w:rFonts w:ascii="Arial" w:hAnsi="Arial" w:cs="Arial"/>
          <w:color w:val="333333"/>
          <w:lang w:val="es-ES"/>
        </w:rPr>
        <w:t xml:space="preserve">. 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  <w:r w:rsidR="00320098" w:rsidRPr="00201216">
        <w:rPr>
          <w:rFonts w:ascii="Arial" w:hAnsi="Arial" w:cs="Arial"/>
          <w:color w:val="333333"/>
          <w:lang w:val="es-ES"/>
        </w:rPr>
        <w:t xml:space="preserve"> ofrece seguros</w:t>
      </w:r>
      <w:r>
        <w:rPr>
          <w:rFonts w:ascii="Arial" w:hAnsi="Arial" w:cs="Arial"/>
          <w:color w:val="333333"/>
          <w:lang w:val="es-ES"/>
        </w:rPr>
        <w:t xml:space="preserve"> contra</w:t>
      </w:r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r w:rsidRPr="00201216">
        <w:rPr>
          <w:rFonts w:ascii="Arial" w:hAnsi="Arial" w:cs="Arial"/>
          <w:color w:val="333333"/>
          <w:lang w:val="es-ES"/>
        </w:rPr>
        <w:t>terremoto</w:t>
      </w:r>
      <w:r>
        <w:rPr>
          <w:rFonts w:ascii="Arial" w:hAnsi="Arial" w:cs="Arial"/>
          <w:color w:val="333333"/>
          <w:lang w:val="es-ES"/>
        </w:rPr>
        <w:t>s a la</w:t>
      </w:r>
      <w:r w:rsidR="00320098" w:rsidRPr="00201216">
        <w:rPr>
          <w:rFonts w:ascii="Arial" w:hAnsi="Arial" w:cs="Arial"/>
          <w:color w:val="333333"/>
          <w:lang w:val="es-ES"/>
        </w:rPr>
        <w:t xml:space="preserve"> propiedad residencial en su país (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  <w:r w:rsidR="00320098" w:rsidRPr="00201216">
        <w:rPr>
          <w:rFonts w:ascii="Arial" w:hAnsi="Arial" w:cs="Arial"/>
          <w:color w:val="333333"/>
          <w:lang w:val="es-ES"/>
        </w:rPr>
        <w:t xml:space="preserve"> tiene un 50% de cuota de me</w:t>
      </w:r>
      <w:r>
        <w:rPr>
          <w:rFonts w:ascii="Arial" w:hAnsi="Arial" w:cs="Arial"/>
          <w:color w:val="333333"/>
          <w:lang w:val="es-ES"/>
        </w:rPr>
        <w:t>rcado en esta línea de negocio -</w:t>
      </w:r>
      <w:r w:rsidR="00320098" w:rsidRPr="00201216">
        <w:rPr>
          <w:rFonts w:ascii="Arial" w:hAnsi="Arial" w:cs="Arial"/>
          <w:color w:val="333333"/>
          <w:lang w:val="es-ES"/>
        </w:rPr>
        <w:t xml:space="preserve">datos adicionales </w:t>
      </w:r>
      <w:r w:rsidR="006C1277">
        <w:rPr>
          <w:rFonts w:ascii="Arial" w:hAnsi="Arial" w:cs="Arial"/>
          <w:color w:val="333333"/>
          <w:lang w:val="es-ES"/>
        </w:rPr>
        <w:t>sobre este segmento</w:t>
      </w:r>
      <w:r>
        <w:rPr>
          <w:rFonts w:ascii="Arial" w:hAnsi="Arial" w:cs="Arial"/>
          <w:color w:val="333333"/>
          <w:lang w:val="es-ES"/>
        </w:rPr>
        <w:t xml:space="preserve"> </w:t>
      </w:r>
      <w:r w:rsidR="00320098" w:rsidRPr="00201216">
        <w:rPr>
          <w:rFonts w:ascii="Arial" w:hAnsi="Arial" w:cs="Arial"/>
          <w:color w:val="333333"/>
          <w:lang w:val="es-ES"/>
        </w:rPr>
        <w:t>se ofrece</w:t>
      </w:r>
      <w:r>
        <w:rPr>
          <w:rFonts w:ascii="Arial" w:hAnsi="Arial" w:cs="Arial"/>
          <w:color w:val="333333"/>
          <w:lang w:val="es-ES"/>
        </w:rPr>
        <w:t>n</w:t>
      </w:r>
      <w:r w:rsidR="00320098" w:rsidRPr="00201216">
        <w:rPr>
          <w:rFonts w:ascii="Arial" w:hAnsi="Arial" w:cs="Arial"/>
          <w:color w:val="333333"/>
          <w:lang w:val="es-ES"/>
        </w:rPr>
        <w:t xml:space="preserve"> al final de este documento). Aunque en sus </w:t>
      </w:r>
      <w:r>
        <w:rPr>
          <w:rFonts w:ascii="Arial" w:hAnsi="Arial" w:cs="Arial"/>
          <w:color w:val="333333"/>
          <w:lang w:val="es-ES"/>
        </w:rPr>
        <w:t>comienzos</w:t>
      </w:r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hAnsi="Arial" w:cs="Arial"/>
          <w:color w:val="333333"/>
          <w:lang w:val="es-ES"/>
        </w:rPr>
        <w:t xml:space="preserve">fue beneficiada por </w:t>
      </w:r>
      <w:r w:rsidR="00320098" w:rsidRPr="00201216">
        <w:rPr>
          <w:rFonts w:ascii="Arial" w:hAnsi="Arial" w:cs="Arial"/>
          <w:color w:val="333333"/>
          <w:lang w:val="es-ES"/>
        </w:rPr>
        <w:t xml:space="preserve">subsidios </w:t>
      </w:r>
      <w:r w:rsidR="008B0B27">
        <w:rPr>
          <w:rFonts w:ascii="Arial" w:hAnsi="Arial" w:cs="Arial"/>
          <w:color w:val="333333"/>
          <w:lang w:val="es-ES"/>
        </w:rPr>
        <w:t xml:space="preserve">y </w:t>
      </w:r>
      <w:r w:rsidR="00104CA1">
        <w:rPr>
          <w:rFonts w:ascii="Arial" w:hAnsi="Arial" w:cs="Arial"/>
          <w:color w:val="333333"/>
          <w:lang w:val="es-ES"/>
        </w:rPr>
        <w:t>financi</w:t>
      </w:r>
      <w:r w:rsidR="00F51ECE">
        <w:rPr>
          <w:rFonts w:ascii="Arial" w:hAnsi="Arial" w:cs="Arial"/>
          <w:color w:val="333333"/>
          <w:lang w:val="es-ES"/>
        </w:rPr>
        <w:t>a</w:t>
      </w:r>
      <w:r w:rsidR="00104CA1">
        <w:rPr>
          <w:rFonts w:ascii="Arial" w:hAnsi="Arial" w:cs="Arial"/>
          <w:color w:val="333333"/>
          <w:lang w:val="es-ES"/>
        </w:rPr>
        <w:t>mi</w:t>
      </w:r>
      <w:r w:rsidR="00F51ECE">
        <w:rPr>
          <w:rFonts w:ascii="Arial" w:hAnsi="Arial" w:cs="Arial"/>
          <w:color w:val="333333"/>
          <w:lang w:val="es-ES"/>
        </w:rPr>
        <w:t>e</w:t>
      </w:r>
      <w:r w:rsidR="00104CA1">
        <w:rPr>
          <w:rFonts w:ascii="Arial" w:hAnsi="Arial" w:cs="Arial"/>
          <w:color w:val="333333"/>
          <w:lang w:val="es-ES"/>
        </w:rPr>
        <w:t>nto</w:t>
      </w:r>
      <w:r w:rsidR="00104CA1" w:rsidRPr="00201216">
        <w:rPr>
          <w:rFonts w:ascii="Arial" w:hAnsi="Arial" w:cs="Arial"/>
          <w:color w:val="333333"/>
          <w:lang w:val="es-ES"/>
        </w:rPr>
        <w:t xml:space="preserve"> </w:t>
      </w:r>
      <w:r w:rsidR="008B0B27">
        <w:rPr>
          <w:rFonts w:ascii="Arial" w:hAnsi="Arial" w:cs="Arial"/>
          <w:color w:val="333333"/>
          <w:lang w:val="es-ES"/>
        </w:rPr>
        <w:t>estatal</w:t>
      </w:r>
      <w:r w:rsidR="00320098" w:rsidRPr="00201216">
        <w:rPr>
          <w:rFonts w:ascii="Arial" w:hAnsi="Arial" w:cs="Arial"/>
          <w:color w:val="333333"/>
          <w:lang w:val="es-ES"/>
        </w:rPr>
        <w:t xml:space="preserve">, actualmente opera como un asegurador comercial. </w:t>
      </w:r>
      <w:r w:rsidR="008B0B27">
        <w:rPr>
          <w:rFonts w:ascii="Arial" w:hAnsi="Arial" w:cs="Arial"/>
          <w:color w:val="333333"/>
          <w:lang w:val="es-ES"/>
        </w:rPr>
        <w:t>ASSF</w:t>
      </w:r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r w:rsidR="00A87A1E">
        <w:rPr>
          <w:rFonts w:ascii="Arial" w:hAnsi="Arial" w:cs="Arial"/>
          <w:color w:val="333333"/>
          <w:lang w:val="es-ES"/>
        </w:rPr>
        <w:t xml:space="preserve">considera a </w:t>
      </w:r>
      <w:proofErr w:type="spellStart"/>
      <w:r w:rsidR="00A87A1E">
        <w:rPr>
          <w:rFonts w:ascii="Arial" w:hAnsi="Arial" w:cs="Arial"/>
          <w:color w:val="333333"/>
          <w:lang w:val="es-ES"/>
        </w:rPr>
        <w:t>CATyC</w:t>
      </w:r>
      <w:proofErr w:type="spellEnd"/>
      <w:r w:rsidR="00A87A1E" w:rsidRPr="00201216">
        <w:rPr>
          <w:rFonts w:ascii="Arial" w:hAnsi="Arial" w:cs="Arial"/>
          <w:color w:val="333333"/>
          <w:lang w:val="es-ES"/>
        </w:rPr>
        <w:t xml:space="preserve"> </w:t>
      </w:r>
      <w:r w:rsidR="00A87A1E">
        <w:rPr>
          <w:rFonts w:ascii="Arial" w:hAnsi="Arial" w:cs="Arial"/>
          <w:color w:val="333333"/>
          <w:lang w:val="es-ES"/>
        </w:rPr>
        <w:t xml:space="preserve">como una aseguradora </w:t>
      </w:r>
      <w:r w:rsidR="00320098" w:rsidRPr="00201216">
        <w:rPr>
          <w:rFonts w:ascii="Arial" w:hAnsi="Arial" w:cs="Arial"/>
          <w:color w:val="333333"/>
          <w:lang w:val="es-ES"/>
        </w:rPr>
        <w:t xml:space="preserve">bien administrada y </w:t>
      </w:r>
      <w:r w:rsidR="00A87A1E">
        <w:rPr>
          <w:rFonts w:ascii="Arial" w:hAnsi="Arial" w:cs="Arial"/>
          <w:color w:val="333333"/>
          <w:lang w:val="es-ES"/>
        </w:rPr>
        <w:t xml:space="preserve">bien </w:t>
      </w:r>
      <w:r w:rsidR="00320098" w:rsidRPr="00201216">
        <w:rPr>
          <w:rFonts w:ascii="Arial" w:hAnsi="Arial" w:cs="Arial"/>
          <w:color w:val="333333"/>
          <w:lang w:val="es-ES"/>
        </w:rPr>
        <w:t>ca</w:t>
      </w:r>
      <w:r w:rsidR="006C1277">
        <w:rPr>
          <w:rFonts w:ascii="Arial" w:hAnsi="Arial" w:cs="Arial"/>
          <w:color w:val="333333"/>
          <w:lang w:val="es-ES"/>
        </w:rPr>
        <w:t>pitalizada. En los últimos años</w:t>
      </w:r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A87A1E">
        <w:rPr>
          <w:rFonts w:ascii="Arial" w:hAnsi="Arial" w:cs="Arial"/>
          <w:color w:val="333333"/>
          <w:lang w:val="es-ES"/>
        </w:rPr>
        <w:t>CATyC</w:t>
      </w:r>
      <w:proofErr w:type="spellEnd"/>
      <w:r w:rsidR="00A87A1E" w:rsidRPr="00201216">
        <w:rPr>
          <w:rFonts w:ascii="Arial" w:hAnsi="Arial" w:cs="Arial"/>
          <w:color w:val="333333"/>
          <w:lang w:val="es-ES"/>
        </w:rPr>
        <w:t xml:space="preserve"> </w:t>
      </w:r>
      <w:r w:rsidR="00A87A1E">
        <w:rPr>
          <w:rFonts w:ascii="Arial" w:hAnsi="Arial" w:cs="Arial"/>
          <w:color w:val="333333"/>
          <w:lang w:val="es-ES"/>
        </w:rPr>
        <w:t xml:space="preserve"> </w:t>
      </w:r>
      <w:r w:rsidR="00320098" w:rsidRPr="00201216">
        <w:rPr>
          <w:rFonts w:ascii="Arial" w:hAnsi="Arial" w:cs="Arial"/>
          <w:color w:val="333333"/>
          <w:lang w:val="es-ES"/>
        </w:rPr>
        <w:t xml:space="preserve">ha experimentado un fuerte aumento en </w:t>
      </w:r>
      <w:r w:rsidR="00A87A1E">
        <w:rPr>
          <w:rFonts w:ascii="Arial" w:hAnsi="Arial" w:cs="Arial"/>
          <w:color w:val="333333"/>
          <w:lang w:val="es-ES"/>
        </w:rPr>
        <w:t>su volumen de negocios</w:t>
      </w:r>
      <w:r w:rsidR="00320098" w:rsidRPr="00201216">
        <w:rPr>
          <w:rFonts w:ascii="Arial" w:hAnsi="Arial" w:cs="Arial"/>
          <w:color w:val="333333"/>
          <w:lang w:val="es-ES"/>
        </w:rPr>
        <w:t xml:space="preserve">, </w:t>
      </w:r>
      <w:r w:rsidR="00A87A1E">
        <w:rPr>
          <w:rFonts w:ascii="Arial" w:hAnsi="Arial" w:cs="Arial"/>
          <w:color w:val="333333"/>
          <w:lang w:val="es-ES"/>
        </w:rPr>
        <w:t>cosa que ha sido</w:t>
      </w:r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r w:rsidR="00A87A1E">
        <w:rPr>
          <w:rFonts w:ascii="Arial" w:hAnsi="Arial" w:cs="Arial"/>
          <w:color w:val="333333"/>
          <w:lang w:val="es-ES"/>
        </w:rPr>
        <w:t>manejada por la empresa</w:t>
      </w:r>
      <w:r w:rsidR="00320098" w:rsidRPr="00201216">
        <w:rPr>
          <w:rFonts w:ascii="Arial" w:hAnsi="Arial" w:cs="Arial"/>
          <w:color w:val="333333"/>
          <w:lang w:val="es-ES"/>
        </w:rPr>
        <w:t xml:space="preserve">, entre otras cosas, a través de la cesión de riesgo </w:t>
      </w:r>
      <w:r w:rsidR="00A87A1E">
        <w:rPr>
          <w:rFonts w:ascii="Arial" w:hAnsi="Arial" w:cs="Arial"/>
          <w:color w:val="333333"/>
          <w:lang w:val="es-ES"/>
        </w:rPr>
        <w:t>de tipo catastrófico al sector de</w:t>
      </w:r>
      <w:r w:rsidR="00320098" w:rsidRPr="00201216">
        <w:rPr>
          <w:rFonts w:ascii="Arial" w:hAnsi="Arial" w:cs="Arial"/>
          <w:color w:val="333333"/>
          <w:lang w:val="es-ES"/>
        </w:rPr>
        <w:t xml:space="preserve"> reaseguro comercial. ABC Re se está formando con el fin de ampliar la capacidad de </w:t>
      </w:r>
      <w:proofErr w:type="spellStart"/>
      <w:r w:rsidR="00A87A1E">
        <w:rPr>
          <w:rFonts w:ascii="Arial" w:hAnsi="Arial" w:cs="Arial"/>
          <w:color w:val="333333"/>
          <w:lang w:val="es-ES"/>
        </w:rPr>
        <w:t>CATyC</w:t>
      </w:r>
      <w:proofErr w:type="spellEnd"/>
      <w:r w:rsidR="00A87A1E">
        <w:rPr>
          <w:rFonts w:ascii="Arial" w:hAnsi="Arial" w:cs="Arial"/>
          <w:color w:val="333333"/>
          <w:lang w:val="es-ES"/>
        </w:rPr>
        <w:t>.</w:t>
      </w:r>
    </w:p>
    <w:p w:rsidR="00A87A1E" w:rsidRPr="00A87A1E" w:rsidRDefault="00A87A1E" w:rsidP="00A87A1E">
      <w:pPr>
        <w:pStyle w:val="Prrafodelista"/>
        <w:rPr>
          <w:rFonts w:ascii="Arial" w:hAnsi="Arial" w:cs="Arial"/>
          <w:color w:val="333333"/>
          <w:lang w:val="es-ES"/>
        </w:rPr>
      </w:pPr>
    </w:p>
    <w:p w:rsidR="006F1642" w:rsidRDefault="00A87A1E" w:rsidP="006F1642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El Contrato de R</w:t>
      </w:r>
      <w:r w:rsidR="00320098" w:rsidRPr="00201216">
        <w:rPr>
          <w:rFonts w:ascii="Arial" w:hAnsi="Arial" w:cs="Arial"/>
          <w:color w:val="333333"/>
          <w:lang w:val="es-ES"/>
        </w:rPr>
        <w:t xml:space="preserve">easeguro </w:t>
      </w:r>
      <w:r>
        <w:rPr>
          <w:rFonts w:ascii="Arial" w:hAnsi="Arial" w:cs="Arial"/>
          <w:color w:val="333333"/>
          <w:lang w:val="es-ES"/>
        </w:rPr>
        <w:t xml:space="preserve">a </w:t>
      </w:r>
      <w:r w:rsidR="00320098" w:rsidRPr="00201216">
        <w:rPr>
          <w:rFonts w:ascii="Arial" w:hAnsi="Arial" w:cs="Arial"/>
          <w:color w:val="333333"/>
          <w:lang w:val="es-ES"/>
        </w:rPr>
        <w:t>celebra</w:t>
      </w:r>
      <w:r>
        <w:rPr>
          <w:rFonts w:ascii="Arial" w:hAnsi="Arial" w:cs="Arial"/>
          <w:color w:val="333333"/>
          <w:lang w:val="es-ES"/>
        </w:rPr>
        <w:t>rse</w:t>
      </w:r>
      <w:r w:rsidR="00320098" w:rsidRPr="00201216">
        <w:rPr>
          <w:rFonts w:ascii="Arial" w:hAnsi="Arial" w:cs="Arial"/>
          <w:color w:val="333333"/>
          <w:lang w:val="es-ES"/>
        </w:rPr>
        <w:t xml:space="preserve"> entre ABC </w:t>
      </w:r>
      <w:r>
        <w:rPr>
          <w:rFonts w:ascii="Arial" w:hAnsi="Arial" w:cs="Arial"/>
          <w:color w:val="333333"/>
          <w:lang w:val="es-ES"/>
        </w:rPr>
        <w:t>Re y</w:t>
      </w:r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  <w:r w:rsidR="00320098" w:rsidRPr="00201216">
        <w:rPr>
          <w:rFonts w:ascii="Arial" w:hAnsi="Arial" w:cs="Arial"/>
          <w:color w:val="333333"/>
          <w:lang w:val="es-ES"/>
        </w:rPr>
        <w:t xml:space="preserve"> ha sido </w:t>
      </w:r>
      <w:r>
        <w:rPr>
          <w:rFonts w:ascii="Arial" w:hAnsi="Arial" w:cs="Arial"/>
          <w:color w:val="333333"/>
          <w:lang w:val="es-ES"/>
        </w:rPr>
        <w:t>examinado</w:t>
      </w:r>
      <w:r w:rsidR="00320098" w:rsidRPr="00201216">
        <w:rPr>
          <w:rFonts w:ascii="Arial" w:hAnsi="Arial" w:cs="Arial"/>
          <w:color w:val="333333"/>
          <w:lang w:val="es-ES"/>
        </w:rPr>
        <w:t xml:space="preserve"> por </w:t>
      </w:r>
      <w:r>
        <w:rPr>
          <w:rFonts w:ascii="Arial" w:hAnsi="Arial" w:cs="Arial"/>
          <w:color w:val="333333"/>
          <w:lang w:val="es-ES"/>
        </w:rPr>
        <w:t xml:space="preserve">el </w:t>
      </w:r>
      <w:r w:rsidRPr="00201216">
        <w:rPr>
          <w:rFonts w:ascii="Arial" w:hAnsi="Arial" w:cs="Arial"/>
          <w:color w:val="333333"/>
          <w:lang w:val="es-ES"/>
        </w:rPr>
        <w:t>Departamento de Seguros</w:t>
      </w:r>
      <w:r>
        <w:rPr>
          <w:rFonts w:ascii="Arial" w:hAnsi="Arial" w:cs="Arial"/>
          <w:color w:val="333333"/>
          <w:lang w:val="es-ES"/>
        </w:rPr>
        <w:t xml:space="preserve"> de</w:t>
      </w:r>
      <w:r w:rsidRPr="00201216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hAnsi="Arial" w:cs="Arial"/>
          <w:color w:val="333333"/>
          <w:lang w:val="es-ES"/>
        </w:rPr>
        <w:t>ASSF</w:t>
      </w:r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hAnsi="Arial" w:cs="Arial"/>
          <w:color w:val="333333"/>
          <w:lang w:val="es-ES"/>
        </w:rPr>
        <w:t>quien ha determinado que es un contrato adecuado. El Contrato de R</w:t>
      </w:r>
      <w:r w:rsidR="00320098" w:rsidRPr="00201216">
        <w:rPr>
          <w:rFonts w:ascii="Arial" w:hAnsi="Arial" w:cs="Arial"/>
          <w:color w:val="333333"/>
          <w:lang w:val="es-ES"/>
        </w:rPr>
        <w:t xml:space="preserve">easeguro tiene las </w:t>
      </w:r>
      <w:r w:rsidRPr="00201216">
        <w:rPr>
          <w:rFonts w:ascii="Arial" w:hAnsi="Arial" w:cs="Arial"/>
          <w:color w:val="333333"/>
          <w:lang w:val="es-ES"/>
        </w:rPr>
        <w:t xml:space="preserve">siguientes </w:t>
      </w:r>
      <w:r w:rsidR="006C1277">
        <w:rPr>
          <w:rFonts w:ascii="Arial" w:hAnsi="Arial" w:cs="Arial"/>
          <w:color w:val="333333"/>
          <w:lang w:val="es-ES"/>
        </w:rPr>
        <w:t xml:space="preserve">principales </w:t>
      </w:r>
      <w:r>
        <w:rPr>
          <w:rFonts w:ascii="Arial" w:hAnsi="Arial" w:cs="Arial"/>
          <w:color w:val="333333"/>
          <w:lang w:val="es-ES"/>
        </w:rPr>
        <w:t>características</w:t>
      </w:r>
      <w:r w:rsidR="00320098" w:rsidRPr="00201216">
        <w:rPr>
          <w:rFonts w:ascii="Arial" w:hAnsi="Arial" w:cs="Arial"/>
          <w:color w:val="333333"/>
          <w:lang w:val="es-ES"/>
        </w:rPr>
        <w:t>:</w:t>
      </w:r>
    </w:p>
    <w:p w:rsidR="009B4239" w:rsidRPr="00C6586D" w:rsidRDefault="009B4239" w:rsidP="00C6586D">
      <w:pPr>
        <w:pStyle w:val="Prrafodelista"/>
        <w:rPr>
          <w:rFonts w:ascii="Arial" w:hAnsi="Arial" w:cs="Arial"/>
          <w:color w:val="333333"/>
          <w:lang w:val="es-ES"/>
        </w:rPr>
      </w:pPr>
    </w:p>
    <w:p w:rsidR="00570E38" w:rsidRDefault="006F1642" w:rsidP="006F1642">
      <w:pPr>
        <w:pStyle w:val="Prrafodelista"/>
        <w:numPr>
          <w:ilvl w:val="1"/>
          <w:numId w:val="3"/>
        </w:numPr>
        <w:ind w:left="720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C</w:t>
      </w:r>
      <w:r w:rsidR="00320098" w:rsidRPr="00C6586D">
        <w:rPr>
          <w:rFonts w:ascii="Arial" w:hAnsi="Arial" w:cs="Arial"/>
          <w:color w:val="333333"/>
          <w:u w:val="single"/>
          <w:lang w:val="es-ES"/>
        </w:rPr>
        <w:t>edente</w:t>
      </w:r>
      <w:r w:rsidR="00320098" w:rsidRPr="006F1642">
        <w:rPr>
          <w:rFonts w:ascii="Arial" w:hAnsi="Arial" w:cs="Arial"/>
          <w:color w:val="333333"/>
          <w:lang w:val="es-ES"/>
        </w:rPr>
        <w:t>:</w:t>
      </w:r>
      <w:r>
        <w:rPr>
          <w:rFonts w:ascii="Arial" w:hAnsi="Arial" w:cs="Arial"/>
          <w:color w:val="333333"/>
          <w:lang w:val="es-ES"/>
        </w:rPr>
        <w:t xml:space="preserve"> 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</w:p>
    <w:p w:rsidR="00570E38" w:rsidRDefault="00570E38" w:rsidP="006F1642">
      <w:pPr>
        <w:pStyle w:val="Prrafodelista"/>
        <w:numPr>
          <w:ilvl w:val="1"/>
          <w:numId w:val="3"/>
        </w:numPr>
        <w:ind w:left="720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Reasegurador</w:t>
      </w:r>
      <w:r>
        <w:rPr>
          <w:rFonts w:ascii="Arial" w:hAnsi="Arial" w:cs="Arial"/>
          <w:color w:val="333333"/>
          <w:lang w:val="es-ES"/>
        </w:rPr>
        <w:t>: ABC Re</w:t>
      </w:r>
    </w:p>
    <w:p w:rsidR="00D043E0" w:rsidRDefault="00993585" w:rsidP="006F1642">
      <w:pPr>
        <w:pStyle w:val="Prrafodelista"/>
        <w:numPr>
          <w:ilvl w:val="1"/>
          <w:numId w:val="3"/>
        </w:numPr>
        <w:ind w:left="720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R</w:t>
      </w:r>
      <w:r w:rsidR="00104CA1" w:rsidRPr="00C6586D">
        <w:rPr>
          <w:rFonts w:ascii="Arial" w:hAnsi="Arial" w:cs="Arial"/>
          <w:color w:val="333333"/>
          <w:u w:val="single"/>
          <w:lang w:val="es-ES"/>
        </w:rPr>
        <w:t>ie</w:t>
      </w:r>
      <w:r w:rsidRPr="00C6586D">
        <w:rPr>
          <w:rFonts w:ascii="Arial" w:hAnsi="Arial" w:cs="Arial"/>
          <w:color w:val="333333"/>
          <w:u w:val="single"/>
          <w:lang w:val="es-ES"/>
        </w:rPr>
        <w:t>sgo</w:t>
      </w:r>
      <w:r w:rsidR="001458A3" w:rsidRPr="00C6586D">
        <w:rPr>
          <w:rFonts w:ascii="Arial" w:hAnsi="Arial" w:cs="Arial"/>
          <w:color w:val="333333"/>
          <w:u w:val="single"/>
          <w:lang w:val="es-ES"/>
        </w:rPr>
        <w:t xml:space="preserve"> </w:t>
      </w:r>
      <w:r w:rsidR="00570E38" w:rsidRPr="00C6586D">
        <w:rPr>
          <w:rFonts w:ascii="Arial" w:hAnsi="Arial" w:cs="Arial"/>
          <w:color w:val="333333"/>
          <w:u w:val="single"/>
          <w:lang w:val="es-ES"/>
        </w:rPr>
        <w:t>/</w:t>
      </w:r>
      <w:r w:rsidR="001458A3" w:rsidRPr="00C6586D">
        <w:rPr>
          <w:rFonts w:ascii="Arial" w:hAnsi="Arial" w:cs="Arial"/>
          <w:color w:val="333333"/>
          <w:u w:val="single"/>
          <w:lang w:val="es-ES"/>
        </w:rPr>
        <w:t xml:space="preserve"> </w:t>
      </w:r>
      <w:r w:rsidR="00570E38" w:rsidRPr="00C6586D">
        <w:rPr>
          <w:rFonts w:ascii="Arial" w:hAnsi="Arial" w:cs="Arial"/>
          <w:color w:val="333333"/>
          <w:u w:val="single"/>
          <w:lang w:val="es-ES"/>
        </w:rPr>
        <w:t>Región</w:t>
      </w:r>
      <w:r w:rsidR="00320098" w:rsidRPr="006F1642">
        <w:rPr>
          <w:rFonts w:ascii="Arial" w:hAnsi="Arial" w:cs="Arial"/>
          <w:color w:val="333333"/>
          <w:lang w:val="es-ES"/>
        </w:rPr>
        <w:t xml:space="preserve">: </w:t>
      </w:r>
      <w:r w:rsidR="00570E38">
        <w:rPr>
          <w:rFonts w:ascii="Arial" w:hAnsi="Arial" w:cs="Arial"/>
          <w:color w:val="333333"/>
          <w:lang w:val="es-ES"/>
        </w:rPr>
        <w:t>T</w:t>
      </w:r>
      <w:r w:rsidR="00570E38" w:rsidRPr="006F1642">
        <w:rPr>
          <w:rFonts w:ascii="Arial" w:hAnsi="Arial" w:cs="Arial"/>
          <w:color w:val="333333"/>
          <w:lang w:val="es-ES"/>
        </w:rPr>
        <w:t>erremoto</w:t>
      </w:r>
      <w:r w:rsidR="001458A3">
        <w:rPr>
          <w:rFonts w:ascii="Arial" w:hAnsi="Arial" w:cs="Arial"/>
          <w:color w:val="333333"/>
          <w:lang w:val="es-ES"/>
        </w:rPr>
        <w:t xml:space="preserve"> /</w:t>
      </w:r>
      <w:r w:rsidR="00570E38" w:rsidRPr="006F1642">
        <w:rPr>
          <w:rFonts w:ascii="Arial" w:hAnsi="Arial" w:cs="Arial"/>
          <w:color w:val="333333"/>
          <w:lang w:val="es-ES"/>
        </w:rPr>
        <w:t xml:space="preserve"> </w:t>
      </w:r>
      <w:r w:rsidR="001458A3">
        <w:rPr>
          <w:rFonts w:ascii="Arial" w:hAnsi="Arial" w:cs="Arial"/>
          <w:color w:val="333333"/>
          <w:lang w:val="es-ES"/>
        </w:rPr>
        <w:t>E</w:t>
      </w:r>
      <w:r w:rsidR="00570E38" w:rsidRPr="006F1642">
        <w:rPr>
          <w:rFonts w:ascii="Arial" w:hAnsi="Arial" w:cs="Arial"/>
          <w:color w:val="333333"/>
          <w:lang w:val="es-ES"/>
        </w:rPr>
        <w:t xml:space="preserve">n todo el </w:t>
      </w:r>
      <w:r w:rsidR="00570E38">
        <w:rPr>
          <w:rFonts w:ascii="Arial" w:hAnsi="Arial" w:cs="Arial"/>
          <w:color w:val="333333"/>
          <w:lang w:val="es-ES"/>
        </w:rPr>
        <w:t>p</w:t>
      </w:r>
      <w:r w:rsidR="00320098" w:rsidRPr="006F1642">
        <w:rPr>
          <w:rFonts w:ascii="Arial" w:hAnsi="Arial" w:cs="Arial"/>
          <w:color w:val="333333"/>
          <w:lang w:val="es-ES"/>
        </w:rPr>
        <w:t xml:space="preserve">aís </w:t>
      </w:r>
    </w:p>
    <w:p w:rsidR="00D043E0" w:rsidRDefault="00D043E0" w:rsidP="00613ABB">
      <w:pPr>
        <w:pStyle w:val="Prrafodelista"/>
        <w:numPr>
          <w:ilvl w:val="1"/>
          <w:numId w:val="3"/>
        </w:numPr>
        <w:ind w:left="720"/>
        <w:jc w:val="both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Riesgo cubierto</w:t>
      </w:r>
      <w:r>
        <w:rPr>
          <w:rFonts w:ascii="Arial" w:hAnsi="Arial" w:cs="Arial"/>
          <w:color w:val="333333"/>
          <w:lang w:val="es-ES"/>
        </w:rPr>
        <w:t>: Riesgos a la</w:t>
      </w:r>
      <w:r w:rsidR="00320098" w:rsidRPr="006F1642">
        <w:rPr>
          <w:rFonts w:ascii="Arial" w:hAnsi="Arial" w:cs="Arial"/>
          <w:color w:val="333333"/>
          <w:lang w:val="es-ES"/>
        </w:rPr>
        <w:t xml:space="preserve"> propiedad, </w:t>
      </w:r>
      <w:r>
        <w:rPr>
          <w:rFonts w:ascii="Arial" w:hAnsi="Arial" w:cs="Arial"/>
          <w:color w:val="333333"/>
          <w:lang w:val="es-ES"/>
        </w:rPr>
        <w:t>tales como</w:t>
      </w:r>
      <w:r w:rsidR="00320098" w:rsidRPr="006F1642">
        <w:rPr>
          <w:rFonts w:ascii="Arial" w:hAnsi="Arial" w:cs="Arial"/>
          <w:color w:val="333333"/>
          <w:lang w:val="es-ES"/>
        </w:rPr>
        <w:t xml:space="preserve"> daños a edificios residenciales resultante</w:t>
      </w:r>
      <w:r>
        <w:rPr>
          <w:rFonts w:ascii="Arial" w:hAnsi="Arial" w:cs="Arial"/>
          <w:color w:val="333333"/>
          <w:lang w:val="es-ES"/>
        </w:rPr>
        <w:t>s de terremotos, o de incendios o</w:t>
      </w:r>
      <w:r w:rsidR="00320098" w:rsidRPr="006F1642">
        <w:rPr>
          <w:rFonts w:ascii="Arial" w:hAnsi="Arial" w:cs="Arial"/>
          <w:color w:val="333333"/>
          <w:lang w:val="es-ES"/>
        </w:rPr>
        <w:t xml:space="preserve"> explosiones o derrumbes </w:t>
      </w:r>
      <w:r>
        <w:rPr>
          <w:rFonts w:ascii="Arial" w:hAnsi="Arial" w:cs="Arial"/>
          <w:color w:val="333333"/>
          <w:lang w:val="es-ES"/>
        </w:rPr>
        <w:t>causados por terremotos</w:t>
      </w:r>
    </w:p>
    <w:p w:rsidR="00D043E0" w:rsidRDefault="00D043E0" w:rsidP="006F1642">
      <w:pPr>
        <w:pStyle w:val="Prrafodelista"/>
        <w:numPr>
          <w:ilvl w:val="1"/>
          <w:numId w:val="3"/>
        </w:numPr>
        <w:ind w:left="720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lastRenderedPageBreak/>
        <w:t>Período de riesgo</w:t>
      </w:r>
      <w:r w:rsidR="00320098" w:rsidRPr="006F1642">
        <w:rPr>
          <w:rFonts w:ascii="Arial" w:hAnsi="Arial" w:cs="Arial"/>
          <w:color w:val="333333"/>
          <w:lang w:val="es-ES"/>
        </w:rPr>
        <w:t>: 12 meses, a partir del 1 de julio de 2013</w:t>
      </w:r>
      <w:r>
        <w:rPr>
          <w:rFonts w:ascii="Arial" w:hAnsi="Arial" w:cs="Arial"/>
          <w:color w:val="333333"/>
          <w:lang w:val="es-ES"/>
        </w:rPr>
        <w:t>, finalizando el 30 de junio de 2014</w:t>
      </w:r>
    </w:p>
    <w:p w:rsidR="00D043E0" w:rsidRDefault="00AD6E87" w:rsidP="006F1642">
      <w:pPr>
        <w:pStyle w:val="Prrafodelista"/>
        <w:numPr>
          <w:ilvl w:val="1"/>
          <w:numId w:val="3"/>
        </w:numPr>
        <w:ind w:left="720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Prima</w:t>
      </w:r>
      <w:r>
        <w:rPr>
          <w:rFonts w:ascii="Arial" w:hAnsi="Arial" w:cs="Arial"/>
          <w:color w:val="333333"/>
          <w:lang w:val="es-ES"/>
        </w:rPr>
        <w:t>: $</w:t>
      </w:r>
      <w:r w:rsidR="00D043E0">
        <w:rPr>
          <w:rFonts w:ascii="Arial" w:hAnsi="Arial" w:cs="Arial"/>
          <w:color w:val="333333"/>
          <w:lang w:val="es-ES"/>
        </w:rPr>
        <w:t>40.000.000</w:t>
      </w:r>
    </w:p>
    <w:p w:rsidR="00993585" w:rsidRDefault="00D043E0" w:rsidP="006F1642">
      <w:pPr>
        <w:pStyle w:val="Prrafodelista"/>
        <w:numPr>
          <w:ilvl w:val="1"/>
          <w:numId w:val="3"/>
        </w:numPr>
        <w:ind w:left="720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I</w:t>
      </w:r>
      <w:r w:rsidR="00320098" w:rsidRPr="00C6586D">
        <w:rPr>
          <w:rFonts w:ascii="Arial" w:hAnsi="Arial" w:cs="Arial"/>
          <w:color w:val="333333"/>
          <w:u w:val="single"/>
          <w:lang w:val="es-ES"/>
        </w:rPr>
        <w:t>mporte total de riesg</w:t>
      </w:r>
      <w:r w:rsidRPr="00C6586D">
        <w:rPr>
          <w:rFonts w:ascii="Arial" w:hAnsi="Arial" w:cs="Arial"/>
          <w:color w:val="333333"/>
          <w:u w:val="single"/>
          <w:lang w:val="es-ES"/>
        </w:rPr>
        <w:t>o t</w:t>
      </w:r>
      <w:r w:rsidR="00320098" w:rsidRPr="00C6586D">
        <w:rPr>
          <w:rFonts w:ascii="Arial" w:hAnsi="Arial" w:cs="Arial"/>
          <w:color w:val="333333"/>
          <w:u w:val="single"/>
          <w:lang w:val="es-ES"/>
        </w:rPr>
        <w:t>ransferi</w:t>
      </w:r>
      <w:r w:rsidR="00AD6E87" w:rsidRPr="00C6586D">
        <w:rPr>
          <w:rFonts w:ascii="Arial" w:hAnsi="Arial" w:cs="Arial"/>
          <w:color w:val="333333"/>
          <w:u w:val="single"/>
          <w:lang w:val="es-ES"/>
        </w:rPr>
        <w:t>do</w:t>
      </w:r>
      <w:r w:rsidR="00AD6E87">
        <w:rPr>
          <w:rFonts w:ascii="Arial" w:hAnsi="Arial" w:cs="Arial"/>
          <w:color w:val="333333"/>
          <w:lang w:val="es-ES"/>
        </w:rPr>
        <w:t>: $</w:t>
      </w:r>
      <w:r w:rsidR="00320098" w:rsidRPr="006F1642">
        <w:rPr>
          <w:rFonts w:ascii="Arial" w:hAnsi="Arial" w:cs="Arial"/>
          <w:color w:val="333333"/>
          <w:lang w:val="es-ES"/>
        </w:rPr>
        <w:t>500</w:t>
      </w:r>
      <w:r>
        <w:rPr>
          <w:rFonts w:ascii="Arial" w:hAnsi="Arial" w:cs="Arial"/>
          <w:color w:val="333333"/>
          <w:lang w:val="es-ES"/>
        </w:rPr>
        <w:t>.000.000</w:t>
      </w:r>
    </w:p>
    <w:p w:rsidR="00993585" w:rsidRDefault="00993585" w:rsidP="00613ABB">
      <w:pPr>
        <w:pStyle w:val="Prrafodelista"/>
        <w:numPr>
          <w:ilvl w:val="1"/>
          <w:numId w:val="3"/>
        </w:numPr>
        <w:ind w:left="720"/>
        <w:jc w:val="both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Retención</w:t>
      </w:r>
      <w:r w:rsidR="00AD6E87">
        <w:rPr>
          <w:rFonts w:ascii="Arial" w:hAnsi="Arial" w:cs="Arial"/>
          <w:color w:val="333333"/>
          <w:lang w:val="es-ES"/>
        </w:rPr>
        <w:t>: $</w:t>
      </w:r>
      <w:r w:rsidR="00320098" w:rsidRPr="006F1642">
        <w:rPr>
          <w:rFonts w:ascii="Arial" w:hAnsi="Arial" w:cs="Arial"/>
          <w:color w:val="333333"/>
          <w:lang w:val="es-ES"/>
        </w:rPr>
        <w:t xml:space="preserve">2.000.000.000. 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  <w:r w:rsidR="00320098" w:rsidRPr="006F1642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hAnsi="Arial" w:cs="Arial"/>
          <w:color w:val="333333"/>
          <w:lang w:val="es-ES"/>
        </w:rPr>
        <w:t>r</w:t>
      </w:r>
      <w:r w:rsidR="00320098" w:rsidRPr="006F1642">
        <w:rPr>
          <w:rFonts w:ascii="Arial" w:hAnsi="Arial" w:cs="Arial"/>
          <w:color w:val="333333"/>
          <w:lang w:val="es-ES"/>
        </w:rPr>
        <w:t xml:space="preserve">etiene </w:t>
      </w:r>
      <w:r w:rsidR="00104CA1">
        <w:rPr>
          <w:rFonts w:ascii="Arial" w:hAnsi="Arial" w:cs="Arial"/>
          <w:color w:val="333333"/>
          <w:lang w:val="es-ES"/>
        </w:rPr>
        <w:t xml:space="preserve">los </w:t>
      </w:r>
      <w:r>
        <w:rPr>
          <w:rFonts w:ascii="Arial" w:hAnsi="Arial" w:cs="Arial"/>
          <w:color w:val="333333"/>
          <w:lang w:val="es-ES"/>
        </w:rPr>
        <w:t>primer</w:t>
      </w:r>
      <w:r w:rsidR="00104CA1">
        <w:rPr>
          <w:rFonts w:ascii="Arial" w:hAnsi="Arial" w:cs="Arial"/>
          <w:color w:val="333333"/>
          <w:lang w:val="es-ES"/>
        </w:rPr>
        <w:t>os</w:t>
      </w:r>
      <w:r w:rsidR="00AD6E87">
        <w:rPr>
          <w:rFonts w:ascii="Arial" w:hAnsi="Arial" w:cs="Arial"/>
          <w:color w:val="333333"/>
          <w:lang w:val="es-ES"/>
        </w:rPr>
        <w:t xml:space="preserve"> $</w:t>
      </w:r>
      <w:r w:rsidR="00320098" w:rsidRPr="006F1642">
        <w:rPr>
          <w:rFonts w:ascii="Arial" w:hAnsi="Arial" w:cs="Arial"/>
          <w:color w:val="333333"/>
          <w:lang w:val="es-ES"/>
        </w:rPr>
        <w:t xml:space="preserve">1.000.000.000 y cede </w:t>
      </w:r>
      <w:r w:rsidR="00AD6E87">
        <w:rPr>
          <w:rFonts w:ascii="Arial" w:hAnsi="Arial" w:cs="Arial"/>
          <w:color w:val="333333"/>
          <w:lang w:val="es-ES"/>
        </w:rPr>
        <w:t>$</w:t>
      </w:r>
      <w:r w:rsidRPr="006F1642">
        <w:rPr>
          <w:rFonts w:ascii="Arial" w:hAnsi="Arial" w:cs="Arial"/>
          <w:color w:val="333333"/>
          <w:lang w:val="es-ES"/>
        </w:rPr>
        <w:t xml:space="preserve">1.000.000.000 </w:t>
      </w:r>
      <w:r w:rsidR="00320098" w:rsidRPr="006F1642">
        <w:rPr>
          <w:rFonts w:ascii="Arial" w:hAnsi="Arial" w:cs="Arial"/>
          <w:color w:val="333333"/>
          <w:lang w:val="es-ES"/>
        </w:rPr>
        <w:t xml:space="preserve">en exceso </w:t>
      </w:r>
      <w:r>
        <w:rPr>
          <w:rFonts w:ascii="Arial" w:hAnsi="Arial" w:cs="Arial"/>
          <w:color w:val="333333"/>
          <w:lang w:val="es-ES"/>
        </w:rPr>
        <w:t>a</w:t>
      </w:r>
      <w:r w:rsidR="00104CA1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hAnsi="Arial" w:cs="Arial"/>
          <w:color w:val="333333"/>
          <w:lang w:val="es-ES"/>
        </w:rPr>
        <w:t>l</w:t>
      </w:r>
      <w:r w:rsidR="00104CA1">
        <w:rPr>
          <w:rFonts w:ascii="Arial" w:hAnsi="Arial" w:cs="Arial"/>
          <w:color w:val="333333"/>
          <w:lang w:val="es-ES"/>
        </w:rPr>
        <w:t>os</w:t>
      </w:r>
      <w:r>
        <w:rPr>
          <w:rFonts w:ascii="Arial" w:hAnsi="Arial" w:cs="Arial"/>
          <w:color w:val="333333"/>
          <w:lang w:val="es-ES"/>
        </w:rPr>
        <w:t xml:space="preserve"> </w:t>
      </w:r>
      <w:r w:rsidR="00AD6E87">
        <w:rPr>
          <w:rFonts w:ascii="Arial" w:hAnsi="Arial" w:cs="Arial"/>
          <w:color w:val="333333"/>
          <w:lang w:val="es-ES"/>
        </w:rPr>
        <w:t>$</w:t>
      </w:r>
      <w:r w:rsidRPr="006F1642">
        <w:rPr>
          <w:rFonts w:ascii="Arial" w:hAnsi="Arial" w:cs="Arial"/>
          <w:color w:val="333333"/>
          <w:lang w:val="es-ES"/>
        </w:rPr>
        <w:t>1.000.000.000</w:t>
      </w:r>
      <w:r>
        <w:rPr>
          <w:rFonts w:ascii="Arial" w:hAnsi="Arial" w:cs="Arial"/>
          <w:color w:val="333333"/>
          <w:lang w:val="es-ES"/>
        </w:rPr>
        <w:t xml:space="preserve"> retenido</w:t>
      </w:r>
      <w:r w:rsidR="00104CA1">
        <w:rPr>
          <w:rFonts w:ascii="Arial" w:hAnsi="Arial" w:cs="Arial"/>
          <w:color w:val="333333"/>
          <w:lang w:val="es-ES"/>
        </w:rPr>
        <w:t>s,</w:t>
      </w:r>
      <w:r>
        <w:rPr>
          <w:rFonts w:ascii="Arial" w:hAnsi="Arial" w:cs="Arial"/>
          <w:color w:val="333333"/>
          <w:lang w:val="es-ES"/>
        </w:rPr>
        <w:t xml:space="preserve"> </w:t>
      </w:r>
      <w:r w:rsidR="00320098" w:rsidRPr="006F1642">
        <w:rPr>
          <w:rFonts w:ascii="Arial" w:hAnsi="Arial" w:cs="Arial"/>
          <w:color w:val="333333"/>
          <w:lang w:val="es-ES"/>
        </w:rPr>
        <w:t xml:space="preserve">a un grupo de reaseguradores globales, todos los cuales están registrados en la </w:t>
      </w:r>
      <w:r>
        <w:rPr>
          <w:rFonts w:ascii="Arial" w:hAnsi="Arial" w:cs="Arial"/>
          <w:color w:val="333333"/>
          <w:lang w:val="es-ES"/>
        </w:rPr>
        <w:t>ASSF y considerados</w:t>
      </w:r>
      <w:r w:rsidR="00320098" w:rsidRPr="006F1642">
        <w:rPr>
          <w:rFonts w:ascii="Arial" w:hAnsi="Arial" w:cs="Arial"/>
          <w:color w:val="333333"/>
          <w:lang w:val="es-ES"/>
        </w:rPr>
        <w:t xml:space="preserve"> </w:t>
      </w:r>
      <w:r w:rsidR="00E656D0">
        <w:rPr>
          <w:rFonts w:ascii="Arial" w:hAnsi="Arial" w:cs="Arial"/>
          <w:color w:val="333333"/>
          <w:lang w:val="es-ES"/>
        </w:rPr>
        <w:t>so</w:t>
      </w:r>
      <w:r w:rsidR="00104CA1">
        <w:rPr>
          <w:rFonts w:ascii="Arial" w:hAnsi="Arial" w:cs="Arial"/>
          <w:color w:val="333333"/>
          <w:lang w:val="es-ES"/>
        </w:rPr>
        <w:t>lventes</w:t>
      </w:r>
      <w:r w:rsidR="00104CA1" w:rsidRPr="006F1642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hAnsi="Arial" w:cs="Arial"/>
          <w:color w:val="333333"/>
          <w:lang w:val="es-ES"/>
        </w:rPr>
        <w:t>por</w:t>
      </w:r>
      <w:r w:rsidR="00320098" w:rsidRPr="006F1642">
        <w:rPr>
          <w:rFonts w:ascii="Arial" w:hAnsi="Arial" w:cs="Arial"/>
          <w:color w:val="333333"/>
          <w:lang w:val="es-ES"/>
        </w:rPr>
        <w:t xml:space="preserve"> FSSA (información </w:t>
      </w:r>
      <w:r>
        <w:rPr>
          <w:rFonts w:ascii="Arial" w:hAnsi="Arial" w:cs="Arial"/>
          <w:color w:val="333333"/>
          <w:lang w:val="es-ES"/>
        </w:rPr>
        <w:t xml:space="preserve">ilustrativa </w:t>
      </w:r>
      <w:r w:rsidR="00320098" w:rsidRPr="006F1642">
        <w:rPr>
          <w:rFonts w:ascii="Arial" w:hAnsi="Arial" w:cs="Arial"/>
          <w:color w:val="333333"/>
          <w:lang w:val="es-ES"/>
        </w:rPr>
        <w:t xml:space="preserve">adicional sobre flujos globales de pérdidas pagadas a entidades aseguradoras </w:t>
      </w:r>
      <w:r>
        <w:rPr>
          <w:rFonts w:ascii="Arial" w:hAnsi="Arial" w:cs="Arial"/>
          <w:color w:val="333333"/>
          <w:lang w:val="es-ES"/>
        </w:rPr>
        <w:t>y reaseguradoras en 2011</w:t>
      </w:r>
      <w:r w:rsidR="00104CA1">
        <w:rPr>
          <w:rFonts w:ascii="Arial" w:hAnsi="Arial" w:cs="Arial"/>
          <w:color w:val="333333"/>
          <w:lang w:val="es-ES"/>
        </w:rPr>
        <w:t>,</w:t>
      </w:r>
      <w:r>
        <w:rPr>
          <w:rFonts w:ascii="Arial" w:hAnsi="Arial" w:cs="Arial"/>
          <w:color w:val="333333"/>
          <w:lang w:val="es-ES"/>
        </w:rPr>
        <w:t xml:space="preserve"> se </w:t>
      </w:r>
      <w:r w:rsidR="00320098" w:rsidRPr="006F1642">
        <w:rPr>
          <w:rFonts w:ascii="Arial" w:hAnsi="Arial" w:cs="Arial"/>
          <w:color w:val="333333"/>
          <w:lang w:val="es-ES"/>
        </w:rPr>
        <w:t>proporciona</w:t>
      </w:r>
      <w:r>
        <w:rPr>
          <w:rFonts w:ascii="Arial" w:hAnsi="Arial" w:cs="Arial"/>
          <w:color w:val="333333"/>
          <w:lang w:val="es-ES"/>
        </w:rPr>
        <w:t xml:space="preserve"> al final de este documento).</w:t>
      </w:r>
    </w:p>
    <w:p w:rsidR="00A87A1E" w:rsidRDefault="00993585" w:rsidP="006F1642">
      <w:pPr>
        <w:pStyle w:val="Prrafodelista"/>
        <w:numPr>
          <w:ilvl w:val="1"/>
          <w:numId w:val="3"/>
        </w:numPr>
        <w:ind w:left="720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Desencadenante</w:t>
      </w:r>
      <w:r w:rsidR="00104CA1" w:rsidRPr="00C6586D">
        <w:rPr>
          <w:rFonts w:ascii="Arial" w:hAnsi="Arial" w:cs="Arial"/>
          <w:color w:val="333333"/>
          <w:u w:val="single"/>
          <w:lang w:val="es-ES"/>
        </w:rPr>
        <w:t xml:space="preserve"> o detonador</w:t>
      </w:r>
      <w:r w:rsidR="00320098" w:rsidRPr="006F1642">
        <w:rPr>
          <w:rFonts w:ascii="Arial" w:hAnsi="Arial" w:cs="Arial"/>
          <w:color w:val="333333"/>
          <w:lang w:val="es-ES"/>
        </w:rPr>
        <w:t>: Indemnización</w:t>
      </w:r>
      <w:r w:rsidR="00104CA1">
        <w:rPr>
          <w:rFonts w:ascii="Arial" w:hAnsi="Arial" w:cs="Arial"/>
          <w:color w:val="333333"/>
          <w:lang w:val="es-ES"/>
        </w:rPr>
        <w:t>.</w:t>
      </w:r>
    </w:p>
    <w:p w:rsidR="00AD6E87" w:rsidRPr="006F1642" w:rsidRDefault="00AD6E87" w:rsidP="00AD6E87">
      <w:pPr>
        <w:pStyle w:val="Prrafodelista"/>
        <w:rPr>
          <w:rFonts w:ascii="Arial" w:hAnsi="Arial" w:cs="Arial"/>
          <w:color w:val="333333"/>
          <w:lang w:val="es-ES"/>
        </w:rPr>
      </w:pPr>
    </w:p>
    <w:p w:rsidR="00AD6E87" w:rsidRDefault="00320098" w:rsidP="00AD6E87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r w:rsidRPr="00201216">
        <w:rPr>
          <w:rFonts w:ascii="Arial" w:hAnsi="Arial" w:cs="Arial"/>
          <w:color w:val="333333"/>
          <w:lang w:val="es-ES"/>
        </w:rPr>
        <w:t>ABC Re propone emitir</w:t>
      </w:r>
      <w:r w:rsidR="006C1277">
        <w:rPr>
          <w:rFonts w:ascii="Arial" w:hAnsi="Arial" w:cs="Arial"/>
          <w:color w:val="333333"/>
          <w:lang w:val="es-ES"/>
        </w:rPr>
        <w:t xml:space="preserve"> los B</w:t>
      </w:r>
      <w:r w:rsidRPr="00201216">
        <w:rPr>
          <w:rFonts w:ascii="Arial" w:hAnsi="Arial" w:cs="Arial"/>
          <w:color w:val="333333"/>
          <w:lang w:val="es-ES"/>
        </w:rPr>
        <w:t>onos bajo condiciones específicas establec</w:t>
      </w:r>
      <w:r w:rsidR="00AD6E87">
        <w:rPr>
          <w:rFonts w:ascii="Arial" w:hAnsi="Arial" w:cs="Arial"/>
          <w:color w:val="333333"/>
          <w:lang w:val="es-ES"/>
        </w:rPr>
        <w:t xml:space="preserve">idas en </w:t>
      </w:r>
      <w:r w:rsidR="00613ABB">
        <w:rPr>
          <w:rFonts w:ascii="Arial" w:hAnsi="Arial" w:cs="Arial"/>
          <w:color w:val="333333"/>
          <w:lang w:val="es-ES"/>
        </w:rPr>
        <w:t>el</w:t>
      </w:r>
      <w:r w:rsidR="00613ABB" w:rsidRPr="00613ABB">
        <w:rPr>
          <w:rFonts w:ascii="Arial" w:hAnsi="Arial" w:cs="Arial"/>
          <w:color w:val="333333"/>
          <w:lang w:val="es-ES"/>
        </w:rPr>
        <w:t xml:space="preserve"> </w:t>
      </w:r>
      <w:r w:rsidR="00613ABB">
        <w:rPr>
          <w:rFonts w:ascii="Arial" w:hAnsi="Arial" w:cs="Arial"/>
          <w:color w:val="333333"/>
          <w:lang w:val="es-ES"/>
        </w:rPr>
        <w:t>p</w:t>
      </w:r>
      <w:r w:rsidR="00613ABB" w:rsidRPr="00613ABB">
        <w:rPr>
          <w:rFonts w:ascii="Arial" w:hAnsi="Arial" w:cs="Arial"/>
          <w:color w:val="333333"/>
          <w:lang w:val="es-ES"/>
        </w:rPr>
        <w:t>rospecto de colocación</w:t>
      </w:r>
      <w:r w:rsidR="00613ABB" w:rsidDel="00613ABB">
        <w:rPr>
          <w:rFonts w:ascii="Arial" w:hAnsi="Arial" w:cs="Arial"/>
          <w:color w:val="333333"/>
          <w:lang w:val="es-ES"/>
        </w:rPr>
        <w:t xml:space="preserve"> </w:t>
      </w:r>
      <w:r w:rsidR="00AD6E87">
        <w:rPr>
          <w:rFonts w:ascii="Arial" w:hAnsi="Arial" w:cs="Arial"/>
          <w:color w:val="333333"/>
          <w:lang w:val="es-ES"/>
        </w:rPr>
        <w:t>(</w:t>
      </w:r>
      <w:r w:rsidR="00613ABB">
        <w:rPr>
          <w:rFonts w:ascii="Arial" w:hAnsi="Arial" w:cs="Arial"/>
          <w:color w:val="333333"/>
          <w:lang w:val="es-ES"/>
        </w:rPr>
        <w:t>el Prospecto</w:t>
      </w:r>
      <w:r w:rsidRPr="00201216">
        <w:rPr>
          <w:rFonts w:ascii="Arial" w:hAnsi="Arial" w:cs="Arial"/>
          <w:color w:val="333333"/>
          <w:lang w:val="es-ES"/>
        </w:rPr>
        <w:t xml:space="preserve">), </w:t>
      </w:r>
      <w:r w:rsidR="00AD6E87">
        <w:rPr>
          <w:rFonts w:ascii="Arial" w:hAnsi="Arial" w:cs="Arial"/>
          <w:color w:val="333333"/>
          <w:lang w:val="es-ES"/>
        </w:rPr>
        <w:t>copia de la cual fue presentada</w:t>
      </w:r>
      <w:r w:rsidRPr="00201216">
        <w:rPr>
          <w:rFonts w:ascii="Arial" w:hAnsi="Arial" w:cs="Arial"/>
          <w:color w:val="333333"/>
          <w:lang w:val="es-ES"/>
        </w:rPr>
        <w:t xml:space="preserve"> por ABC Re </w:t>
      </w:r>
      <w:r w:rsidR="00AD6E87">
        <w:rPr>
          <w:rFonts w:ascii="Arial" w:hAnsi="Arial" w:cs="Arial"/>
          <w:color w:val="333333"/>
          <w:lang w:val="es-ES"/>
        </w:rPr>
        <w:t xml:space="preserve">a </w:t>
      </w:r>
      <w:r w:rsidRPr="00201216">
        <w:rPr>
          <w:rFonts w:ascii="Arial" w:hAnsi="Arial" w:cs="Arial"/>
          <w:color w:val="333333"/>
          <w:lang w:val="es-ES"/>
        </w:rPr>
        <w:t xml:space="preserve">FSSA. </w:t>
      </w:r>
      <w:r w:rsidR="00613ABB">
        <w:rPr>
          <w:rFonts w:ascii="Arial" w:hAnsi="Arial" w:cs="Arial"/>
          <w:color w:val="333333"/>
          <w:lang w:val="es-ES"/>
        </w:rPr>
        <w:t>El</w:t>
      </w:r>
      <w:r w:rsidR="00613ABB" w:rsidRPr="00201216">
        <w:rPr>
          <w:rFonts w:ascii="Arial" w:hAnsi="Arial" w:cs="Arial"/>
          <w:color w:val="333333"/>
          <w:lang w:val="es-ES"/>
        </w:rPr>
        <w:t xml:space="preserve"> </w:t>
      </w:r>
      <w:r w:rsidR="00613ABB">
        <w:rPr>
          <w:rFonts w:ascii="Arial" w:hAnsi="Arial" w:cs="Arial"/>
          <w:color w:val="333333"/>
          <w:lang w:val="es-ES"/>
        </w:rPr>
        <w:t>Prospecto</w:t>
      </w:r>
      <w:r w:rsidR="00613ABB" w:rsidRPr="00201216">
        <w:rPr>
          <w:rFonts w:ascii="Arial" w:hAnsi="Arial" w:cs="Arial"/>
          <w:color w:val="333333"/>
          <w:lang w:val="es-ES"/>
        </w:rPr>
        <w:t xml:space="preserve"> </w:t>
      </w:r>
      <w:r w:rsidR="00AD6E87">
        <w:rPr>
          <w:rFonts w:ascii="Arial" w:hAnsi="Arial" w:cs="Arial"/>
          <w:color w:val="333333"/>
          <w:lang w:val="es-ES"/>
        </w:rPr>
        <w:t>fue</w:t>
      </w:r>
      <w:r w:rsidRPr="00201216">
        <w:rPr>
          <w:rFonts w:ascii="Arial" w:hAnsi="Arial" w:cs="Arial"/>
          <w:color w:val="333333"/>
          <w:lang w:val="es-ES"/>
        </w:rPr>
        <w:t xml:space="preserve"> </w:t>
      </w:r>
      <w:r w:rsidR="00AD6E87">
        <w:rPr>
          <w:rFonts w:ascii="Arial" w:hAnsi="Arial" w:cs="Arial"/>
          <w:color w:val="333333"/>
          <w:lang w:val="es-ES"/>
        </w:rPr>
        <w:t>examinad</w:t>
      </w:r>
      <w:r w:rsidR="00E51BDF">
        <w:rPr>
          <w:rFonts w:ascii="Arial" w:hAnsi="Arial" w:cs="Arial"/>
          <w:color w:val="333333"/>
          <w:lang w:val="es-ES"/>
        </w:rPr>
        <w:t>o</w:t>
      </w:r>
      <w:r w:rsidR="00AD6E87">
        <w:rPr>
          <w:rFonts w:ascii="Arial" w:hAnsi="Arial" w:cs="Arial"/>
          <w:color w:val="333333"/>
          <w:lang w:val="es-ES"/>
        </w:rPr>
        <w:t xml:space="preserve"> por el </w:t>
      </w:r>
      <w:r w:rsidR="00AD6E87" w:rsidRPr="00201216">
        <w:rPr>
          <w:rFonts w:ascii="Arial" w:hAnsi="Arial" w:cs="Arial"/>
          <w:color w:val="333333"/>
          <w:lang w:val="es-ES"/>
        </w:rPr>
        <w:t xml:space="preserve">Departamento de Seguros </w:t>
      </w:r>
      <w:r w:rsidR="00AD6E87">
        <w:rPr>
          <w:rFonts w:ascii="Arial" w:hAnsi="Arial" w:cs="Arial"/>
          <w:color w:val="333333"/>
          <w:lang w:val="es-ES"/>
        </w:rPr>
        <w:t>de ASSF</w:t>
      </w:r>
      <w:r w:rsidRPr="00201216">
        <w:rPr>
          <w:rFonts w:ascii="Arial" w:hAnsi="Arial" w:cs="Arial"/>
          <w:color w:val="333333"/>
          <w:lang w:val="es-ES"/>
        </w:rPr>
        <w:t xml:space="preserve"> y </w:t>
      </w:r>
      <w:r w:rsidR="00AD6E87">
        <w:rPr>
          <w:rFonts w:ascii="Arial" w:hAnsi="Arial" w:cs="Arial"/>
          <w:color w:val="333333"/>
          <w:lang w:val="es-ES"/>
        </w:rPr>
        <w:t>fue considerada</w:t>
      </w:r>
      <w:r w:rsidRPr="00201216">
        <w:rPr>
          <w:rFonts w:ascii="Arial" w:hAnsi="Arial" w:cs="Arial"/>
          <w:color w:val="333333"/>
          <w:lang w:val="es-ES"/>
        </w:rPr>
        <w:t xml:space="preserve"> aceptable, en particular con respecto a la información </w:t>
      </w:r>
      <w:r w:rsidR="00AD6E87">
        <w:rPr>
          <w:rFonts w:ascii="Arial" w:hAnsi="Arial" w:cs="Arial"/>
          <w:color w:val="333333"/>
          <w:lang w:val="es-ES"/>
        </w:rPr>
        <w:t xml:space="preserve">suministrada </w:t>
      </w:r>
      <w:r w:rsidRPr="00201216">
        <w:rPr>
          <w:rFonts w:ascii="Arial" w:hAnsi="Arial" w:cs="Arial"/>
          <w:color w:val="333333"/>
          <w:lang w:val="es-ES"/>
        </w:rPr>
        <w:t xml:space="preserve">a </w:t>
      </w:r>
      <w:r w:rsidR="00104CA1">
        <w:rPr>
          <w:rFonts w:ascii="Arial" w:hAnsi="Arial" w:cs="Arial"/>
          <w:color w:val="333333"/>
          <w:lang w:val="es-ES"/>
        </w:rPr>
        <w:t>inversionistas</w:t>
      </w:r>
      <w:r w:rsidR="00104CA1" w:rsidRPr="00201216">
        <w:rPr>
          <w:rFonts w:ascii="Arial" w:hAnsi="Arial" w:cs="Arial"/>
          <w:color w:val="333333"/>
          <w:lang w:val="es-ES"/>
        </w:rPr>
        <w:t xml:space="preserve"> </w:t>
      </w:r>
      <w:r w:rsidRPr="00201216">
        <w:rPr>
          <w:rFonts w:ascii="Arial" w:hAnsi="Arial" w:cs="Arial"/>
          <w:color w:val="333333"/>
          <w:lang w:val="es-ES"/>
        </w:rPr>
        <w:t xml:space="preserve">sobre </w:t>
      </w:r>
      <w:r w:rsidR="006C1277">
        <w:rPr>
          <w:rFonts w:ascii="Arial" w:hAnsi="Arial" w:cs="Arial"/>
          <w:color w:val="333333"/>
          <w:lang w:val="es-ES"/>
        </w:rPr>
        <w:t>los riesgos potenciales de los B</w:t>
      </w:r>
      <w:r w:rsidRPr="00201216">
        <w:rPr>
          <w:rFonts w:ascii="Arial" w:hAnsi="Arial" w:cs="Arial"/>
          <w:color w:val="333333"/>
          <w:lang w:val="es-ES"/>
        </w:rPr>
        <w:t xml:space="preserve">onos. Habrá una </w:t>
      </w:r>
      <w:r w:rsidR="00AD6E87">
        <w:rPr>
          <w:rFonts w:ascii="Arial" w:hAnsi="Arial" w:cs="Arial"/>
          <w:color w:val="333333"/>
          <w:lang w:val="es-ES"/>
        </w:rPr>
        <w:t xml:space="preserve">sola </w:t>
      </w:r>
      <w:r w:rsidR="006C1277">
        <w:rPr>
          <w:rFonts w:ascii="Arial" w:hAnsi="Arial" w:cs="Arial"/>
          <w:color w:val="333333"/>
          <w:lang w:val="es-ES"/>
        </w:rPr>
        <w:t>serie de Bonos y todos los B</w:t>
      </w:r>
      <w:r w:rsidRPr="00201216">
        <w:rPr>
          <w:rFonts w:ascii="Arial" w:hAnsi="Arial" w:cs="Arial"/>
          <w:color w:val="333333"/>
          <w:lang w:val="es-ES"/>
        </w:rPr>
        <w:t xml:space="preserve">onos de </w:t>
      </w:r>
      <w:r w:rsidR="00AD6E87">
        <w:rPr>
          <w:rFonts w:ascii="Arial" w:hAnsi="Arial" w:cs="Arial"/>
          <w:color w:val="333333"/>
          <w:lang w:val="es-ES"/>
        </w:rPr>
        <w:t>tal</w:t>
      </w:r>
      <w:r w:rsidRPr="00201216">
        <w:rPr>
          <w:rFonts w:ascii="Arial" w:hAnsi="Arial" w:cs="Arial"/>
          <w:color w:val="333333"/>
          <w:lang w:val="es-ES"/>
        </w:rPr>
        <w:t xml:space="preserve"> serie serán de la misma clase. </w:t>
      </w:r>
      <w:r w:rsidR="00613ABB">
        <w:rPr>
          <w:rFonts w:ascii="Arial" w:hAnsi="Arial" w:cs="Arial"/>
          <w:color w:val="333333"/>
          <w:lang w:val="es-ES"/>
        </w:rPr>
        <w:t>El Prospecto</w:t>
      </w:r>
      <w:r w:rsidRPr="00201216">
        <w:rPr>
          <w:rFonts w:ascii="Arial" w:hAnsi="Arial" w:cs="Arial"/>
          <w:color w:val="333333"/>
          <w:lang w:val="es-ES"/>
        </w:rPr>
        <w:t xml:space="preserve"> tiene las </w:t>
      </w:r>
      <w:r w:rsidR="00AD6E87" w:rsidRPr="00201216">
        <w:rPr>
          <w:rFonts w:ascii="Arial" w:hAnsi="Arial" w:cs="Arial"/>
          <w:color w:val="333333"/>
          <w:lang w:val="es-ES"/>
        </w:rPr>
        <w:t xml:space="preserve">siguientes </w:t>
      </w:r>
      <w:r w:rsidR="00E656D0">
        <w:rPr>
          <w:rFonts w:ascii="Arial" w:hAnsi="Arial" w:cs="Arial"/>
          <w:color w:val="333333"/>
          <w:lang w:val="es-ES"/>
        </w:rPr>
        <w:t xml:space="preserve">características </w:t>
      </w:r>
      <w:r w:rsidR="006C1277">
        <w:rPr>
          <w:rFonts w:ascii="Arial" w:hAnsi="Arial" w:cs="Arial"/>
          <w:color w:val="333333"/>
          <w:lang w:val="es-ES"/>
        </w:rPr>
        <w:t>principales</w:t>
      </w:r>
      <w:r w:rsidRPr="00201216">
        <w:rPr>
          <w:rFonts w:ascii="Arial" w:hAnsi="Arial" w:cs="Arial"/>
          <w:color w:val="333333"/>
          <w:lang w:val="es-ES"/>
        </w:rPr>
        <w:t>:</w:t>
      </w:r>
    </w:p>
    <w:p w:rsidR="00F06AB9" w:rsidRDefault="00F06AB9" w:rsidP="00C6586D">
      <w:pPr>
        <w:pStyle w:val="Prrafodelista"/>
        <w:rPr>
          <w:rFonts w:ascii="Arial" w:hAnsi="Arial" w:cs="Arial"/>
          <w:color w:val="333333"/>
          <w:lang w:val="es-ES"/>
        </w:rPr>
      </w:pPr>
    </w:p>
    <w:p w:rsidR="00AD6E87" w:rsidRDefault="00AD6E87" w:rsidP="00AD6E87">
      <w:pPr>
        <w:pStyle w:val="Prrafodelista"/>
        <w:numPr>
          <w:ilvl w:val="1"/>
          <w:numId w:val="3"/>
        </w:numPr>
        <w:ind w:left="720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Importe total de la serie única de Bonos a emitir</w:t>
      </w:r>
      <w:r>
        <w:rPr>
          <w:rFonts w:ascii="Arial" w:hAnsi="Arial" w:cs="Arial"/>
          <w:color w:val="333333"/>
          <w:lang w:val="es-ES"/>
        </w:rPr>
        <w:t>: $</w:t>
      </w:r>
      <w:r w:rsidR="00320098" w:rsidRPr="00AD6E87">
        <w:rPr>
          <w:rFonts w:ascii="Arial" w:hAnsi="Arial" w:cs="Arial"/>
          <w:color w:val="333333"/>
          <w:lang w:val="es-ES"/>
        </w:rPr>
        <w:t>465</w:t>
      </w:r>
      <w:r>
        <w:rPr>
          <w:rFonts w:ascii="Arial" w:hAnsi="Arial" w:cs="Arial"/>
          <w:color w:val="333333"/>
          <w:lang w:val="es-ES"/>
        </w:rPr>
        <w:t>.000.000</w:t>
      </w:r>
    </w:p>
    <w:p w:rsidR="001047E5" w:rsidRDefault="00AD6E87" w:rsidP="00613ABB">
      <w:pPr>
        <w:pStyle w:val="Prrafodelista"/>
        <w:numPr>
          <w:ilvl w:val="1"/>
          <w:numId w:val="3"/>
        </w:numPr>
        <w:ind w:left="720"/>
        <w:jc w:val="both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Inversores</w:t>
      </w:r>
      <w:r w:rsidR="00320098" w:rsidRPr="00C6586D">
        <w:rPr>
          <w:rFonts w:ascii="Arial" w:hAnsi="Arial" w:cs="Arial"/>
          <w:color w:val="333333"/>
          <w:u w:val="single"/>
          <w:lang w:val="es-ES"/>
        </w:rPr>
        <w:t xml:space="preserve"> </w:t>
      </w:r>
      <w:r w:rsidRPr="00C6586D">
        <w:rPr>
          <w:rFonts w:ascii="Arial" w:hAnsi="Arial" w:cs="Arial"/>
          <w:color w:val="333333"/>
          <w:u w:val="single"/>
          <w:lang w:val="es-ES"/>
        </w:rPr>
        <w:t>habilitados a comprar los Bonos</w:t>
      </w:r>
      <w:r w:rsidR="00320098" w:rsidRPr="00AD6E87">
        <w:rPr>
          <w:rFonts w:ascii="Arial" w:hAnsi="Arial" w:cs="Arial"/>
          <w:color w:val="333333"/>
          <w:lang w:val="es-ES"/>
        </w:rPr>
        <w:t xml:space="preserve">: los compradores </w:t>
      </w:r>
      <w:r>
        <w:rPr>
          <w:rFonts w:ascii="Arial" w:hAnsi="Arial" w:cs="Arial"/>
          <w:color w:val="333333"/>
          <w:lang w:val="es-ES"/>
        </w:rPr>
        <w:t>habilitados para comprar los B</w:t>
      </w:r>
      <w:r w:rsidR="00320098" w:rsidRPr="00AD6E87">
        <w:rPr>
          <w:rFonts w:ascii="Arial" w:hAnsi="Arial" w:cs="Arial"/>
          <w:color w:val="333333"/>
          <w:lang w:val="es-ES"/>
        </w:rPr>
        <w:t xml:space="preserve">onos son inversores institucionales o </w:t>
      </w:r>
      <w:r w:rsidR="0098285F">
        <w:rPr>
          <w:rFonts w:ascii="Arial" w:hAnsi="Arial" w:cs="Arial"/>
          <w:color w:val="333333"/>
          <w:lang w:val="es-ES"/>
        </w:rPr>
        <w:t xml:space="preserve">inversionistas calificados (sólo </w:t>
      </w:r>
      <w:r w:rsidR="00320098" w:rsidRPr="00AD6E87">
        <w:rPr>
          <w:rFonts w:ascii="Arial" w:hAnsi="Arial" w:cs="Arial"/>
          <w:color w:val="333333"/>
          <w:lang w:val="es-ES"/>
        </w:rPr>
        <w:t>profesionales</w:t>
      </w:r>
      <w:r w:rsidR="0098285F">
        <w:rPr>
          <w:rFonts w:ascii="Arial" w:hAnsi="Arial" w:cs="Arial"/>
          <w:color w:val="333333"/>
          <w:lang w:val="es-ES"/>
        </w:rPr>
        <w:t>)</w:t>
      </w:r>
      <w:r w:rsidR="001047E5">
        <w:rPr>
          <w:rFonts w:ascii="Arial" w:hAnsi="Arial" w:cs="Arial"/>
          <w:color w:val="333333"/>
          <w:lang w:val="es-ES"/>
        </w:rPr>
        <w:t>.</w:t>
      </w:r>
    </w:p>
    <w:p w:rsidR="00DD79A1" w:rsidRDefault="00320098" w:rsidP="00613ABB">
      <w:pPr>
        <w:pStyle w:val="Prrafodelista"/>
        <w:numPr>
          <w:ilvl w:val="1"/>
          <w:numId w:val="3"/>
        </w:numPr>
        <w:ind w:left="720"/>
        <w:jc w:val="both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 xml:space="preserve">Carácter subordinado de los </w:t>
      </w:r>
      <w:r w:rsidR="00E656D0" w:rsidRPr="00C6586D">
        <w:rPr>
          <w:rFonts w:ascii="Arial" w:hAnsi="Arial" w:cs="Arial"/>
          <w:color w:val="333333"/>
          <w:u w:val="single"/>
          <w:lang w:val="es-ES"/>
        </w:rPr>
        <w:t>inversionistas</w:t>
      </w:r>
      <w:r w:rsidR="00DD79A1">
        <w:rPr>
          <w:rFonts w:ascii="Arial" w:hAnsi="Arial" w:cs="Arial"/>
          <w:color w:val="333333"/>
          <w:lang w:val="es-ES"/>
        </w:rPr>
        <w:t xml:space="preserve">: </w:t>
      </w:r>
      <w:r w:rsidR="00613ABB">
        <w:rPr>
          <w:rFonts w:ascii="Arial" w:hAnsi="Arial" w:cs="Arial"/>
          <w:color w:val="333333"/>
          <w:lang w:val="es-ES"/>
        </w:rPr>
        <w:t>El Prospecto</w:t>
      </w:r>
      <w:r w:rsidRPr="00AD6E87">
        <w:rPr>
          <w:rFonts w:ascii="Arial" w:hAnsi="Arial" w:cs="Arial"/>
          <w:color w:val="333333"/>
          <w:lang w:val="es-ES"/>
        </w:rPr>
        <w:t xml:space="preserve"> </w:t>
      </w:r>
      <w:r w:rsidR="00DD79A1">
        <w:rPr>
          <w:rFonts w:ascii="Arial" w:hAnsi="Arial" w:cs="Arial"/>
          <w:color w:val="333333"/>
          <w:lang w:val="es-ES"/>
        </w:rPr>
        <w:t>establece de manera</w:t>
      </w:r>
      <w:r w:rsidRPr="00AD6E87">
        <w:rPr>
          <w:rFonts w:ascii="Arial" w:hAnsi="Arial" w:cs="Arial"/>
          <w:color w:val="333333"/>
          <w:lang w:val="es-ES"/>
        </w:rPr>
        <w:t xml:space="preserve"> inequívoca que los derechos de los tenedores de </w:t>
      </w:r>
      <w:r w:rsidR="00DD79A1">
        <w:rPr>
          <w:rFonts w:ascii="Arial" w:hAnsi="Arial" w:cs="Arial"/>
          <w:color w:val="333333"/>
          <w:lang w:val="es-ES"/>
        </w:rPr>
        <w:t>B</w:t>
      </w:r>
      <w:r w:rsidRPr="00AD6E87">
        <w:rPr>
          <w:rFonts w:ascii="Arial" w:hAnsi="Arial" w:cs="Arial"/>
          <w:color w:val="333333"/>
          <w:lang w:val="es-ES"/>
        </w:rPr>
        <w:t xml:space="preserve">onos están subordinados a los derechos de </w:t>
      </w:r>
      <w:proofErr w:type="spellStart"/>
      <w:r w:rsidR="00DD79A1">
        <w:rPr>
          <w:rFonts w:ascii="Arial" w:hAnsi="Arial" w:cs="Arial"/>
          <w:color w:val="333333"/>
          <w:lang w:val="es-ES"/>
        </w:rPr>
        <w:t>CATyC</w:t>
      </w:r>
      <w:proofErr w:type="spellEnd"/>
      <w:r w:rsidRPr="00AD6E87">
        <w:rPr>
          <w:rFonts w:ascii="Arial" w:hAnsi="Arial" w:cs="Arial"/>
          <w:color w:val="333333"/>
          <w:lang w:val="es-ES"/>
        </w:rPr>
        <w:t xml:space="preserve">. </w:t>
      </w:r>
      <w:r w:rsidR="00613ABB">
        <w:rPr>
          <w:rFonts w:ascii="Arial" w:hAnsi="Arial" w:cs="Arial"/>
          <w:color w:val="333333"/>
          <w:lang w:val="es-ES"/>
        </w:rPr>
        <w:t>El Prospecto</w:t>
      </w:r>
      <w:r w:rsidR="00613ABB" w:rsidRPr="00AD6E87">
        <w:rPr>
          <w:rFonts w:ascii="Arial" w:hAnsi="Arial" w:cs="Arial"/>
          <w:color w:val="333333"/>
          <w:lang w:val="es-ES"/>
        </w:rPr>
        <w:t xml:space="preserve"> </w:t>
      </w:r>
      <w:r w:rsidR="00DD79A1">
        <w:rPr>
          <w:rFonts w:ascii="Arial" w:hAnsi="Arial" w:cs="Arial"/>
          <w:color w:val="333333"/>
          <w:lang w:val="es-ES"/>
        </w:rPr>
        <w:t>también informa que los t</w:t>
      </w:r>
      <w:r w:rsidRPr="00AD6E87">
        <w:rPr>
          <w:rFonts w:ascii="Arial" w:hAnsi="Arial" w:cs="Arial"/>
          <w:color w:val="333333"/>
          <w:lang w:val="es-ES"/>
        </w:rPr>
        <w:t xml:space="preserve">enedores de Bonos </w:t>
      </w:r>
      <w:r w:rsidR="00DD79A1">
        <w:rPr>
          <w:rFonts w:ascii="Arial" w:hAnsi="Arial" w:cs="Arial"/>
          <w:color w:val="333333"/>
          <w:lang w:val="es-ES"/>
        </w:rPr>
        <w:t xml:space="preserve">pueden </w:t>
      </w:r>
      <w:r w:rsidRPr="00AD6E87">
        <w:rPr>
          <w:rFonts w:ascii="Arial" w:hAnsi="Arial" w:cs="Arial"/>
          <w:color w:val="333333"/>
          <w:lang w:val="es-ES"/>
        </w:rPr>
        <w:t xml:space="preserve">perder el interés y el </w:t>
      </w:r>
      <w:r w:rsidR="00DD79A1">
        <w:rPr>
          <w:rFonts w:ascii="Arial" w:hAnsi="Arial" w:cs="Arial"/>
          <w:color w:val="333333"/>
          <w:lang w:val="es-ES"/>
        </w:rPr>
        <w:t>capital si los riesgos cubiertos por el Contrato de R</w:t>
      </w:r>
      <w:r w:rsidRPr="00AD6E87">
        <w:rPr>
          <w:rFonts w:ascii="Arial" w:hAnsi="Arial" w:cs="Arial"/>
          <w:color w:val="333333"/>
          <w:lang w:val="es-ES"/>
        </w:rPr>
        <w:t xml:space="preserve">easeguro </w:t>
      </w:r>
      <w:r w:rsidR="00DD79A1">
        <w:rPr>
          <w:rFonts w:ascii="Arial" w:hAnsi="Arial" w:cs="Arial"/>
          <w:color w:val="333333"/>
          <w:lang w:val="es-ES"/>
        </w:rPr>
        <w:t>llegaran a materializarse</w:t>
      </w:r>
      <w:r w:rsidR="00E656D0">
        <w:rPr>
          <w:rFonts w:ascii="Arial" w:hAnsi="Arial" w:cs="Arial"/>
          <w:color w:val="333333"/>
          <w:lang w:val="es-ES"/>
        </w:rPr>
        <w:t>.</w:t>
      </w:r>
    </w:p>
    <w:p w:rsidR="003870A0" w:rsidRDefault="00DD79A1" w:rsidP="00C6586D">
      <w:pPr>
        <w:pStyle w:val="Prrafodelista"/>
        <w:numPr>
          <w:ilvl w:val="1"/>
          <w:numId w:val="3"/>
        </w:numPr>
        <w:ind w:left="720"/>
        <w:jc w:val="both"/>
        <w:rPr>
          <w:rFonts w:ascii="Arial" w:hAnsi="Arial" w:cs="Arial"/>
          <w:color w:val="333333"/>
          <w:lang w:val="es-ES"/>
        </w:rPr>
      </w:pPr>
      <w:r w:rsidRPr="00C6586D">
        <w:rPr>
          <w:rFonts w:ascii="Arial" w:hAnsi="Arial" w:cs="Arial"/>
          <w:color w:val="333333"/>
          <w:u w:val="single"/>
          <w:lang w:val="es-ES"/>
        </w:rPr>
        <w:t>Rep</w:t>
      </w:r>
      <w:r w:rsidR="00320098" w:rsidRPr="00C6586D">
        <w:rPr>
          <w:rFonts w:ascii="Arial" w:hAnsi="Arial" w:cs="Arial"/>
          <w:color w:val="333333"/>
          <w:u w:val="single"/>
          <w:lang w:val="es-ES"/>
        </w:rPr>
        <w:t xml:space="preserve">ago </w:t>
      </w:r>
      <w:r w:rsidRPr="00C6586D">
        <w:rPr>
          <w:rFonts w:ascii="Arial" w:hAnsi="Arial" w:cs="Arial"/>
          <w:color w:val="333333"/>
          <w:u w:val="single"/>
          <w:lang w:val="es-ES"/>
        </w:rPr>
        <w:t>de capital e intereses</w:t>
      </w:r>
      <w:r>
        <w:rPr>
          <w:rFonts w:ascii="Arial" w:hAnsi="Arial" w:cs="Arial"/>
          <w:color w:val="333333"/>
          <w:lang w:val="es-ES"/>
        </w:rPr>
        <w:t>: Los tenedores de los B</w:t>
      </w:r>
      <w:r w:rsidR="00320098" w:rsidRPr="00AD6E87">
        <w:rPr>
          <w:rFonts w:ascii="Arial" w:hAnsi="Arial" w:cs="Arial"/>
          <w:color w:val="333333"/>
          <w:lang w:val="es-ES"/>
        </w:rPr>
        <w:t xml:space="preserve">onos </w:t>
      </w:r>
      <w:r>
        <w:rPr>
          <w:rFonts w:ascii="Arial" w:hAnsi="Arial" w:cs="Arial"/>
          <w:color w:val="333333"/>
          <w:lang w:val="es-ES"/>
        </w:rPr>
        <w:t>recibirán el pago de</w:t>
      </w:r>
      <w:r w:rsidR="00320098" w:rsidRPr="00AD6E87">
        <w:rPr>
          <w:rFonts w:ascii="Arial" w:hAnsi="Arial" w:cs="Arial"/>
          <w:color w:val="333333"/>
          <w:lang w:val="es-ES"/>
        </w:rPr>
        <w:t xml:space="preserve"> capital e intereses </w:t>
      </w:r>
      <w:r>
        <w:rPr>
          <w:rFonts w:ascii="Arial" w:hAnsi="Arial" w:cs="Arial"/>
          <w:color w:val="333333"/>
          <w:lang w:val="es-ES"/>
        </w:rPr>
        <w:t>el</w:t>
      </w:r>
      <w:r w:rsidR="00320098" w:rsidRPr="00AD6E87">
        <w:rPr>
          <w:rFonts w:ascii="Arial" w:hAnsi="Arial" w:cs="Arial"/>
          <w:color w:val="333333"/>
          <w:lang w:val="es-ES"/>
        </w:rPr>
        <w:t xml:space="preserve"> 30 de julio de 2014, es decir, treinta días des</w:t>
      </w:r>
      <w:r>
        <w:rPr>
          <w:rFonts w:ascii="Arial" w:hAnsi="Arial" w:cs="Arial"/>
          <w:color w:val="333333"/>
          <w:lang w:val="es-ES"/>
        </w:rPr>
        <w:t>pués de la finalización del perí</w:t>
      </w:r>
      <w:r w:rsidR="00320098" w:rsidRPr="00AD6E87">
        <w:rPr>
          <w:rFonts w:ascii="Arial" w:hAnsi="Arial" w:cs="Arial"/>
          <w:color w:val="333333"/>
          <w:lang w:val="es-ES"/>
        </w:rPr>
        <w:t>odo de riesgo de</w:t>
      </w:r>
      <w:r>
        <w:rPr>
          <w:rFonts w:ascii="Arial" w:hAnsi="Arial" w:cs="Arial"/>
          <w:color w:val="333333"/>
          <w:lang w:val="es-ES"/>
        </w:rPr>
        <w:t>l Contrato de R</w:t>
      </w:r>
      <w:r w:rsidR="00320098" w:rsidRPr="00AD6E87">
        <w:rPr>
          <w:rFonts w:ascii="Arial" w:hAnsi="Arial" w:cs="Arial"/>
          <w:color w:val="333333"/>
          <w:lang w:val="es-ES"/>
        </w:rPr>
        <w:t xml:space="preserve">easeguro. Si los riesgos cubiertos por el contrato de reaseguro </w:t>
      </w:r>
      <w:r>
        <w:rPr>
          <w:rFonts w:ascii="Arial" w:hAnsi="Arial" w:cs="Arial"/>
          <w:color w:val="333333"/>
          <w:lang w:val="es-ES"/>
        </w:rPr>
        <w:t xml:space="preserve">llegaran a  materializarse, </w:t>
      </w:r>
      <w:r w:rsidR="00320098" w:rsidRPr="00AD6E87">
        <w:rPr>
          <w:rFonts w:ascii="Arial" w:hAnsi="Arial" w:cs="Arial"/>
          <w:color w:val="333333"/>
          <w:lang w:val="es-ES"/>
        </w:rPr>
        <w:t xml:space="preserve">el período de pago de </w:t>
      </w:r>
      <w:r>
        <w:rPr>
          <w:rFonts w:ascii="Arial" w:hAnsi="Arial" w:cs="Arial"/>
          <w:color w:val="333333"/>
          <w:lang w:val="es-ES"/>
        </w:rPr>
        <w:t>capital</w:t>
      </w:r>
      <w:r w:rsidR="00320098" w:rsidRPr="00AD6E87">
        <w:rPr>
          <w:rFonts w:ascii="Arial" w:hAnsi="Arial" w:cs="Arial"/>
          <w:color w:val="333333"/>
          <w:lang w:val="es-ES"/>
        </w:rPr>
        <w:t xml:space="preserve"> e intereses será extendido. </w:t>
      </w:r>
      <w:r>
        <w:rPr>
          <w:rFonts w:ascii="Arial" w:hAnsi="Arial" w:cs="Arial"/>
          <w:color w:val="333333"/>
          <w:lang w:val="es-ES"/>
        </w:rPr>
        <w:t>La tasa de in</w:t>
      </w:r>
      <w:r w:rsidR="00320098" w:rsidRPr="00AD6E87">
        <w:rPr>
          <w:rFonts w:ascii="Arial" w:hAnsi="Arial" w:cs="Arial"/>
          <w:color w:val="333333"/>
          <w:lang w:val="es-ES"/>
        </w:rPr>
        <w:t>ter</w:t>
      </w:r>
      <w:r w:rsidR="00AD6E87">
        <w:rPr>
          <w:rFonts w:ascii="Arial" w:hAnsi="Arial" w:cs="Arial"/>
          <w:color w:val="333333"/>
          <w:lang w:val="es-ES"/>
        </w:rPr>
        <w:t>és se ha fijado en 8,00% anual</w:t>
      </w:r>
      <w:r w:rsidR="00E656D0">
        <w:rPr>
          <w:rFonts w:ascii="Arial" w:hAnsi="Arial" w:cs="Arial"/>
          <w:color w:val="333333"/>
          <w:lang w:val="es-ES"/>
        </w:rPr>
        <w:t>.</w:t>
      </w:r>
    </w:p>
    <w:p w:rsidR="00AD6E87" w:rsidRDefault="00AD6E87" w:rsidP="00C6586D">
      <w:pPr>
        <w:pStyle w:val="Prrafodelista"/>
        <w:jc w:val="both"/>
        <w:rPr>
          <w:rFonts w:ascii="Arial" w:hAnsi="Arial" w:cs="Arial"/>
          <w:color w:val="333333"/>
          <w:lang w:val="es-ES"/>
        </w:rPr>
      </w:pPr>
    </w:p>
    <w:p w:rsidR="00B53283" w:rsidRDefault="00D743FD" w:rsidP="00AD6E87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Lo recaudado por la venta de los Bonos (es decir, $</w:t>
      </w:r>
      <w:r w:rsidR="00320098" w:rsidRPr="00201216">
        <w:rPr>
          <w:rFonts w:ascii="Arial" w:hAnsi="Arial" w:cs="Arial"/>
          <w:color w:val="333333"/>
          <w:lang w:val="es-ES"/>
        </w:rPr>
        <w:t>465 millones) y el producto del pago de la prima (es decir, $ 4</w:t>
      </w:r>
      <w:r w:rsidR="00F41AEA">
        <w:rPr>
          <w:rFonts w:ascii="Arial" w:hAnsi="Arial" w:cs="Arial"/>
          <w:color w:val="333333"/>
          <w:lang w:val="es-ES"/>
        </w:rPr>
        <w:t>0 millones</w:t>
      </w:r>
      <w:r w:rsidR="00320098" w:rsidRPr="00201216">
        <w:rPr>
          <w:rFonts w:ascii="Arial" w:hAnsi="Arial" w:cs="Arial"/>
          <w:color w:val="333333"/>
          <w:lang w:val="es-ES"/>
        </w:rPr>
        <w:t>) se utilizará</w:t>
      </w:r>
      <w:r>
        <w:rPr>
          <w:rFonts w:ascii="Arial" w:hAnsi="Arial" w:cs="Arial"/>
          <w:color w:val="333333"/>
          <w:lang w:val="es-ES"/>
        </w:rPr>
        <w:t>n</w:t>
      </w:r>
      <w:r w:rsidR="00320098" w:rsidRPr="00201216">
        <w:rPr>
          <w:rFonts w:ascii="Arial" w:hAnsi="Arial" w:cs="Arial"/>
          <w:color w:val="333333"/>
          <w:lang w:val="es-ES"/>
        </w:rPr>
        <w:t xml:space="preserve"> para financiar las obligaciones </w:t>
      </w:r>
      <w:r w:rsidR="00E656D0">
        <w:rPr>
          <w:rFonts w:ascii="Arial" w:hAnsi="Arial" w:cs="Arial"/>
          <w:color w:val="333333"/>
          <w:lang w:val="es-ES"/>
        </w:rPr>
        <w:t xml:space="preserve">de </w:t>
      </w:r>
      <w:r w:rsidR="00320098" w:rsidRPr="00201216">
        <w:rPr>
          <w:rFonts w:ascii="Arial" w:hAnsi="Arial" w:cs="Arial"/>
          <w:color w:val="333333"/>
          <w:lang w:val="es-ES"/>
        </w:rPr>
        <w:t>ABC Re</w:t>
      </w:r>
      <w:r w:rsidR="00E656D0">
        <w:rPr>
          <w:rFonts w:ascii="Arial" w:hAnsi="Arial" w:cs="Arial"/>
          <w:color w:val="333333"/>
          <w:lang w:val="es-ES"/>
        </w:rPr>
        <w:t>,</w:t>
      </w:r>
      <w:r w:rsidR="00320098" w:rsidRPr="00201216">
        <w:rPr>
          <w:rFonts w:ascii="Arial" w:hAnsi="Arial" w:cs="Arial"/>
          <w:color w:val="333333"/>
          <w:lang w:val="es-ES"/>
        </w:rPr>
        <w:t xml:space="preserve"> en virtud del Contrato de Reaseguro (</w:t>
      </w:r>
      <w:r>
        <w:rPr>
          <w:rFonts w:ascii="Arial" w:hAnsi="Arial" w:cs="Arial"/>
          <w:color w:val="333333"/>
          <w:lang w:val="es-ES"/>
        </w:rPr>
        <w:t>es decir, total de $</w:t>
      </w:r>
      <w:r w:rsidR="00320098" w:rsidRPr="00201216">
        <w:rPr>
          <w:rFonts w:ascii="Arial" w:hAnsi="Arial" w:cs="Arial"/>
          <w:color w:val="333333"/>
          <w:lang w:val="es-ES"/>
        </w:rPr>
        <w:t>500 millo</w:t>
      </w:r>
      <w:r>
        <w:rPr>
          <w:rFonts w:ascii="Arial" w:hAnsi="Arial" w:cs="Arial"/>
          <w:color w:val="333333"/>
          <w:lang w:val="es-ES"/>
        </w:rPr>
        <w:t xml:space="preserve">nes de dólares) y el pago de los </w:t>
      </w:r>
      <w:r w:rsidR="00320098" w:rsidRPr="00201216">
        <w:rPr>
          <w:rFonts w:ascii="Arial" w:hAnsi="Arial" w:cs="Arial"/>
          <w:color w:val="333333"/>
          <w:lang w:val="es-ES"/>
        </w:rPr>
        <w:t>gastos</w:t>
      </w:r>
      <w:r>
        <w:rPr>
          <w:rFonts w:ascii="Arial" w:hAnsi="Arial" w:cs="Arial"/>
          <w:color w:val="333333"/>
          <w:lang w:val="es-ES"/>
        </w:rPr>
        <w:t xml:space="preserve"> operativos de ABC Re</w:t>
      </w:r>
      <w:r w:rsidR="00320098" w:rsidRPr="00201216">
        <w:rPr>
          <w:rFonts w:ascii="Arial" w:hAnsi="Arial" w:cs="Arial"/>
          <w:color w:val="333333"/>
          <w:lang w:val="es-ES"/>
        </w:rPr>
        <w:t>, que ha</w:t>
      </w:r>
      <w:r>
        <w:rPr>
          <w:rFonts w:ascii="Arial" w:hAnsi="Arial" w:cs="Arial"/>
          <w:color w:val="333333"/>
          <w:lang w:val="es-ES"/>
        </w:rPr>
        <w:t>n sido</w:t>
      </w:r>
      <w:r w:rsidR="00320098" w:rsidRPr="00201216">
        <w:rPr>
          <w:rFonts w:ascii="Arial" w:hAnsi="Arial" w:cs="Arial"/>
          <w:color w:val="333333"/>
          <w:lang w:val="es-ES"/>
        </w:rPr>
        <w:t xml:space="preserve"> estimado</w:t>
      </w:r>
      <w:r>
        <w:rPr>
          <w:rFonts w:ascii="Arial" w:hAnsi="Arial" w:cs="Arial"/>
          <w:color w:val="333333"/>
          <w:lang w:val="es-ES"/>
        </w:rPr>
        <w:t>s en $</w:t>
      </w:r>
      <w:r w:rsidR="00320098" w:rsidRPr="00201216">
        <w:rPr>
          <w:rFonts w:ascii="Arial" w:hAnsi="Arial" w:cs="Arial"/>
          <w:color w:val="333333"/>
          <w:lang w:val="es-ES"/>
        </w:rPr>
        <w:t xml:space="preserve">500.000. Los fondos serán depositados en una cuenta </w:t>
      </w:r>
      <w:r w:rsidR="00FE61F5">
        <w:rPr>
          <w:rFonts w:ascii="Arial" w:hAnsi="Arial" w:cs="Arial"/>
          <w:color w:val="333333"/>
          <w:lang w:val="es-ES"/>
        </w:rPr>
        <w:t xml:space="preserve">de fideicomiso </w:t>
      </w:r>
      <w:r w:rsidR="00320098" w:rsidRPr="00201216">
        <w:rPr>
          <w:rFonts w:ascii="Arial" w:hAnsi="Arial" w:cs="Arial"/>
          <w:color w:val="333333"/>
          <w:lang w:val="es-ES"/>
        </w:rPr>
        <w:t xml:space="preserve">abierta </w:t>
      </w:r>
      <w:r w:rsidR="00FE61F5">
        <w:rPr>
          <w:rFonts w:ascii="Arial" w:hAnsi="Arial" w:cs="Arial"/>
          <w:color w:val="333333"/>
          <w:lang w:val="es-ES"/>
        </w:rPr>
        <w:t xml:space="preserve">en el  Banco </w:t>
      </w:r>
      <w:r w:rsidR="00677A76">
        <w:rPr>
          <w:rFonts w:ascii="Arial" w:hAnsi="Arial" w:cs="Arial"/>
          <w:color w:val="333333"/>
          <w:lang w:val="es-ES"/>
        </w:rPr>
        <w:t>Nacional</w:t>
      </w:r>
      <w:r w:rsidR="00FE61F5">
        <w:rPr>
          <w:rFonts w:ascii="Arial" w:hAnsi="Arial" w:cs="Arial"/>
          <w:color w:val="333333"/>
          <w:lang w:val="es-ES"/>
        </w:rPr>
        <w:t xml:space="preserve"> (</w:t>
      </w:r>
      <w:r w:rsidR="00320098" w:rsidRPr="00201216">
        <w:rPr>
          <w:rFonts w:ascii="Arial" w:hAnsi="Arial" w:cs="Arial"/>
          <w:color w:val="333333"/>
          <w:lang w:val="es-ES"/>
        </w:rPr>
        <w:t>B</w:t>
      </w:r>
      <w:r w:rsidR="00677A76">
        <w:rPr>
          <w:rFonts w:ascii="Arial" w:hAnsi="Arial" w:cs="Arial"/>
          <w:color w:val="333333"/>
          <w:lang w:val="es-ES"/>
        </w:rPr>
        <w:t>N</w:t>
      </w:r>
      <w:r w:rsidR="00320098" w:rsidRPr="00201216">
        <w:rPr>
          <w:rFonts w:ascii="Arial" w:hAnsi="Arial" w:cs="Arial"/>
          <w:color w:val="333333"/>
          <w:lang w:val="es-ES"/>
        </w:rPr>
        <w:t xml:space="preserve">), un banco local con licencia de la </w:t>
      </w:r>
      <w:r>
        <w:rPr>
          <w:rFonts w:ascii="Arial" w:hAnsi="Arial" w:cs="Arial"/>
          <w:color w:val="333333"/>
          <w:lang w:val="es-ES"/>
        </w:rPr>
        <w:t>ASSF</w:t>
      </w:r>
      <w:r w:rsidR="00320098" w:rsidRPr="00201216">
        <w:rPr>
          <w:rFonts w:ascii="Arial" w:hAnsi="Arial" w:cs="Arial"/>
          <w:color w:val="333333"/>
          <w:lang w:val="es-ES"/>
        </w:rPr>
        <w:t xml:space="preserve">. El beneficiario de la cuenta de fideicomiso será </w:t>
      </w:r>
      <w:proofErr w:type="spellStart"/>
      <w:r w:rsidR="00FE61F5">
        <w:rPr>
          <w:rFonts w:ascii="Arial" w:hAnsi="Arial" w:cs="Arial"/>
          <w:color w:val="333333"/>
          <w:lang w:val="es-ES"/>
        </w:rPr>
        <w:t>CATyC</w:t>
      </w:r>
      <w:proofErr w:type="spellEnd"/>
      <w:r w:rsidR="00FE61F5">
        <w:rPr>
          <w:rFonts w:ascii="Arial" w:hAnsi="Arial" w:cs="Arial"/>
          <w:color w:val="333333"/>
          <w:lang w:val="es-ES"/>
        </w:rPr>
        <w:t xml:space="preserve">. </w:t>
      </w:r>
      <w:r w:rsidR="00320098" w:rsidRPr="00201216">
        <w:rPr>
          <w:rFonts w:ascii="Arial" w:hAnsi="Arial" w:cs="Arial"/>
          <w:color w:val="333333"/>
          <w:lang w:val="es-ES"/>
        </w:rPr>
        <w:t>B</w:t>
      </w:r>
      <w:r w:rsidR="00677A76">
        <w:rPr>
          <w:rFonts w:ascii="Arial" w:hAnsi="Arial" w:cs="Arial"/>
          <w:color w:val="333333"/>
          <w:lang w:val="es-ES"/>
        </w:rPr>
        <w:t>N</w:t>
      </w:r>
      <w:r w:rsidR="00F41AEA">
        <w:rPr>
          <w:rFonts w:ascii="Arial" w:hAnsi="Arial" w:cs="Arial"/>
          <w:color w:val="333333"/>
          <w:lang w:val="es-ES"/>
        </w:rPr>
        <w:t xml:space="preserve"> actuará como agente de pagos, ejecutando</w:t>
      </w:r>
      <w:r w:rsidR="00320098" w:rsidRPr="00201216">
        <w:rPr>
          <w:rFonts w:ascii="Arial" w:hAnsi="Arial" w:cs="Arial"/>
          <w:color w:val="333333"/>
          <w:lang w:val="es-ES"/>
        </w:rPr>
        <w:t xml:space="preserve"> los pagos a </w:t>
      </w:r>
      <w:proofErr w:type="spellStart"/>
      <w:r w:rsidR="00FE61F5">
        <w:rPr>
          <w:rFonts w:ascii="Arial" w:hAnsi="Arial" w:cs="Arial"/>
          <w:color w:val="333333"/>
          <w:lang w:val="es-ES"/>
        </w:rPr>
        <w:t>CATyC</w:t>
      </w:r>
      <w:proofErr w:type="spellEnd"/>
      <w:r w:rsidR="00FE61F5">
        <w:rPr>
          <w:rFonts w:ascii="Arial" w:hAnsi="Arial" w:cs="Arial"/>
          <w:color w:val="333333"/>
          <w:lang w:val="es-ES"/>
        </w:rPr>
        <w:t xml:space="preserve"> </w:t>
      </w:r>
      <w:r w:rsidR="00B53283">
        <w:rPr>
          <w:rFonts w:ascii="Arial" w:hAnsi="Arial" w:cs="Arial"/>
          <w:color w:val="333333"/>
          <w:lang w:val="es-ES"/>
        </w:rPr>
        <w:t xml:space="preserve">que llegaran a surgir en relación a un </w:t>
      </w:r>
      <w:r w:rsidR="00FE61F5">
        <w:rPr>
          <w:rFonts w:ascii="Arial" w:hAnsi="Arial" w:cs="Arial"/>
          <w:color w:val="333333"/>
          <w:lang w:val="es-ES"/>
        </w:rPr>
        <w:t>eventual siniestro</w:t>
      </w:r>
      <w:r w:rsidR="00B53283">
        <w:rPr>
          <w:rFonts w:ascii="Arial" w:hAnsi="Arial" w:cs="Arial"/>
          <w:color w:val="333333"/>
          <w:lang w:val="es-ES"/>
        </w:rPr>
        <w:t xml:space="preserve">. </w:t>
      </w:r>
      <w:r w:rsidR="00F41AEA">
        <w:rPr>
          <w:rFonts w:ascii="Arial" w:hAnsi="Arial" w:cs="Arial"/>
          <w:color w:val="333333"/>
          <w:lang w:val="es-ES"/>
        </w:rPr>
        <w:t xml:space="preserve">Como agente de pagos, </w:t>
      </w:r>
      <w:r w:rsidR="00320098" w:rsidRPr="00201216">
        <w:rPr>
          <w:rFonts w:ascii="Arial" w:hAnsi="Arial" w:cs="Arial"/>
          <w:color w:val="333333"/>
          <w:lang w:val="es-ES"/>
        </w:rPr>
        <w:t>B</w:t>
      </w:r>
      <w:r w:rsidR="00677A76">
        <w:rPr>
          <w:rFonts w:ascii="Arial" w:hAnsi="Arial" w:cs="Arial"/>
          <w:color w:val="333333"/>
          <w:lang w:val="es-ES"/>
        </w:rPr>
        <w:t>N</w:t>
      </w:r>
      <w:r w:rsidR="00320098" w:rsidRPr="00201216">
        <w:rPr>
          <w:rFonts w:ascii="Arial" w:hAnsi="Arial" w:cs="Arial"/>
          <w:color w:val="333333"/>
          <w:lang w:val="es-ES"/>
        </w:rPr>
        <w:t xml:space="preserve"> también ejecutará los pagos de capital e intereses a </w:t>
      </w:r>
      <w:r w:rsidR="00B53283">
        <w:rPr>
          <w:rFonts w:ascii="Arial" w:hAnsi="Arial" w:cs="Arial"/>
          <w:color w:val="333333"/>
          <w:lang w:val="es-ES"/>
        </w:rPr>
        <w:t>los tenedores de B</w:t>
      </w:r>
      <w:r w:rsidR="00320098" w:rsidRPr="00201216">
        <w:rPr>
          <w:rFonts w:ascii="Arial" w:hAnsi="Arial" w:cs="Arial"/>
          <w:color w:val="333333"/>
          <w:lang w:val="es-ES"/>
        </w:rPr>
        <w:t>onos, así como los pagos correspondientes a la gestión diaria de ABC Re.</w:t>
      </w:r>
    </w:p>
    <w:p w:rsidR="00B53283" w:rsidRDefault="00B53283" w:rsidP="00B53283">
      <w:pPr>
        <w:pStyle w:val="Prrafodelista"/>
        <w:ind w:left="360"/>
        <w:jc w:val="both"/>
        <w:rPr>
          <w:rFonts w:ascii="Arial" w:hAnsi="Arial" w:cs="Arial"/>
          <w:color w:val="333333"/>
          <w:lang w:val="es-ES"/>
        </w:rPr>
      </w:pPr>
    </w:p>
    <w:p w:rsidR="00FB4796" w:rsidRDefault="00FB4796" w:rsidP="00AD6E87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proofErr w:type="spellStart"/>
      <w:r>
        <w:rPr>
          <w:rFonts w:ascii="Arial" w:hAnsi="Arial" w:cs="Arial"/>
          <w:color w:val="333333"/>
          <w:lang w:val="es-ES"/>
        </w:rPr>
        <w:lastRenderedPageBreak/>
        <w:t>Strong</w:t>
      </w:r>
      <w:proofErr w:type="spellEnd"/>
      <w:r>
        <w:rPr>
          <w:rFonts w:ascii="Arial" w:hAnsi="Arial" w:cs="Arial"/>
          <w:color w:val="333333"/>
          <w:lang w:val="es-ES"/>
        </w:rPr>
        <w:t xml:space="preserve"> </w:t>
      </w:r>
      <w:proofErr w:type="spellStart"/>
      <w:r>
        <w:rPr>
          <w:rFonts w:ascii="Arial" w:hAnsi="Arial" w:cs="Arial"/>
          <w:color w:val="333333"/>
          <w:lang w:val="es-ES"/>
        </w:rPr>
        <w:t>Brothers</w:t>
      </w:r>
      <w:proofErr w:type="spellEnd"/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320098" w:rsidRPr="00201216">
        <w:rPr>
          <w:rFonts w:ascii="Arial" w:hAnsi="Arial" w:cs="Arial"/>
          <w:color w:val="333333"/>
          <w:lang w:val="es-ES"/>
        </w:rPr>
        <w:t>Limited</w:t>
      </w:r>
      <w:proofErr w:type="spellEnd"/>
      <w:r w:rsidR="00320098" w:rsidRPr="00201216">
        <w:rPr>
          <w:rFonts w:ascii="Arial" w:hAnsi="Arial" w:cs="Arial"/>
          <w:color w:val="333333"/>
          <w:lang w:val="es-ES"/>
        </w:rPr>
        <w:t xml:space="preserve">, banco de inversión global </w:t>
      </w:r>
      <w:r>
        <w:rPr>
          <w:rFonts w:ascii="Arial" w:hAnsi="Arial" w:cs="Arial"/>
          <w:color w:val="333333"/>
          <w:lang w:val="es-ES"/>
        </w:rPr>
        <w:t xml:space="preserve">que opera en </w:t>
      </w:r>
      <w:r w:rsidR="00320098" w:rsidRPr="00201216">
        <w:rPr>
          <w:rFonts w:ascii="Arial" w:hAnsi="Arial" w:cs="Arial"/>
          <w:color w:val="333333"/>
          <w:lang w:val="es-ES"/>
        </w:rPr>
        <w:t xml:space="preserve">el país a través de una </w:t>
      </w:r>
      <w:r>
        <w:rPr>
          <w:rFonts w:ascii="Arial" w:hAnsi="Arial" w:cs="Arial"/>
          <w:color w:val="333333"/>
          <w:lang w:val="es-ES"/>
        </w:rPr>
        <w:t>agencia</w:t>
      </w:r>
      <w:r w:rsidR="00320098" w:rsidRPr="00201216">
        <w:rPr>
          <w:rFonts w:ascii="Arial" w:hAnsi="Arial" w:cs="Arial"/>
          <w:color w:val="333333"/>
          <w:lang w:val="es-ES"/>
        </w:rPr>
        <w:t>, ha sido contratad</w:t>
      </w:r>
      <w:r>
        <w:rPr>
          <w:rFonts w:ascii="Arial" w:hAnsi="Arial" w:cs="Arial"/>
          <w:color w:val="333333"/>
          <w:lang w:val="es-ES"/>
        </w:rPr>
        <w:t>o</w:t>
      </w:r>
      <w:r w:rsidR="00320098" w:rsidRPr="00201216">
        <w:rPr>
          <w:rFonts w:ascii="Arial" w:hAnsi="Arial" w:cs="Arial"/>
          <w:color w:val="333333"/>
          <w:lang w:val="es-ES"/>
        </w:rPr>
        <w:t xml:space="preserve"> </w:t>
      </w:r>
      <w:r>
        <w:rPr>
          <w:rFonts w:ascii="Arial" w:hAnsi="Arial" w:cs="Arial"/>
          <w:color w:val="333333"/>
          <w:lang w:val="es-ES"/>
        </w:rPr>
        <w:t xml:space="preserve">por </w:t>
      </w:r>
      <w:r w:rsidRPr="00201216">
        <w:rPr>
          <w:rFonts w:ascii="Arial" w:hAnsi="Arial" w:cs="Arial"/>
          <w:color w:val="333333"/>
          <w:lang w:val="es-ES"/>
        </w:rPr>
        <w:t xml:space="preserve">ABC Re </w:t>
      </w:r>
      <w:r w:rsidR="00320098" w:rsidRPr="00201216">
        <w:rPr>
          <w:rFonts w:ascii="Arial" w:hAnsi="Arial" w:cs="Arial"/>
          <w:color w:val="333333"/>
          <w:lang w:val="es-ES"/>
        </w:rPr>
        <w:t xml:space="preserve">para </w:t>
      </w:r>
      <w:r>
        <w:rPr>
          <w:rFonts w:ascii="Arial" w:hAnsi="Arial" w:cs="Arial"/>
          <w:color w:val="333333"/>
          <w:lang w:val="es-ES"/>
        </w:rPr>
        <w:t xml:space="preserve">manejar </w:t>
      </w:r>
      <w:r w:rsidR="00F41AEA">
        <w:rPr>
          <w:rFonts w:ascii="Arial" w:hAnsi="Arial" w:cs="Arial"/>
          <w:color w:val="333333"/>
          <w:lang w:val="es-ES"/>
        </w:rPr>
        <w:t xml:space="preserve">la inversión </w:t>
      </w:r>
      <w:r>
        <w:rPr>
          <w:rFonts w:ascii="Arial" w:hAnsi="Arial" w:cs="Arial"/>
          <w:color w:val="333333"/>
          <w:lang w:val="es-ES"/>
        </w:rPr>
        <w:t>los activos de ABC Re</w:t>
      </w:r>
      <w:r w:rsidR="00412C92">
        <w:rPr>
          <w:rFonts w:ascii="Arial" w:hAnsi="Arial" w:cs="Arial"/>
          <w:color w:val="333333"/>
          <w:lang w:val="es-ES"/>
        </w:rPr>
        <w:t xml:space="preserve"> (es decir, $50</w:t>
      </w:r>
      <w:r w:rsidR="00412C92" w:rsidRPr="00201216">
        <w:rPr>
          <w:rFonts w:ascii="Arial" w:hAnsi="Arial" w:cs="Arial"/>
          <w:color w:val="333333"/>
          <w:lang w:val="es-ES"/>
        </w:rPr>
        <w:t>5 millones</w:t>
      </w:r>
      <w:r w:rsidR="00412C92">
        <w:rPr>
          <w:rFonts w:ascii="Arial" w:hAnsi="Arial" w:cs="Arial"/>
          <w:color w:val="333333"/>
          <w:lang w:val="es-ES"/>
        </w:rPr>
        <w:t xml:space="preserve"> [$40 de prima + $465 millones de venta de Bonos]</w:t>
      </w:r>
      <w:r w:rsidR="00412C92" w:rsidRPr="00201216">
        <w:rPr>
          <w:rFonts w:ascii="Arial" w:hAnsi="Arial" w:cs="Arial"/>
          <w:color w:val="333333"/>
          <w:lang w:val="es-ES"/>
        </w:rPr>
        <w:t>)</w:t>
      </w:r>
      <w:r w:rsidR="00320098" w:rsidRPr="00201216">
        <w:rPr>
          <w:rFonts w:ascii="Arial" w:hAnsi="Arial" w:cs="Arial"/>
          <w:color w:val="333333"/>
          <w:lang w:val="es-ES"/>
        </w:rPr>
        <w:t>.</w:t>
      </w:r>
      <w:r w:rsidR="007A5590">
        <w:rPr>
          <w:rFonts w:ascii="Arial" w:hAnsi="Arial" w:cs="Arial"/>
          <w:color w:val="333333"/>
          <w:lang w:val="es-ES"/>
        </w:rPr>
        <w:t xml:space="preserve"> La agencia local de </w:t>
      </w:r>
      <w:proofErr w:type="spellStart"/>
      <w:r w:rsidR="007A5590">
        <w:rPr>
          <w:rFonts w:ascii="Arial" w:hAnsi="Arial" w:cs="Arial"/>
          <w:color w:val="333333"/>
          <w:lang w:val="es-ES"/>
        </w:rPr>
        <w:t>Strong</w:t>
      </w:r>
      <w:proofErr w:type="spellEnd"/>
      <w:r w:rsidR="007A5590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7A5590">
        <w:rPr>
          <w:rFonts w:ascii="Arial" w:hAnsi="Arial" w:cs="Arial"/>
          <w:color w:val="333333"/>
          <w:lang w:val="es-ES"/>
        </w:rPr>
        <w:t>Brothers</w:t>
      </w:r>
      <w:proofErr w:type="spellEnd"/>
      <w:r w:rsidR="007A5590" w:rsidRPr="00201216">
        <w:rPr>
          <w:rFonts w:ascii="Arial" w:hAnsi="Arial" w:cs="Arial"/>
          <w:color w:val="333333"/>
          <w:lang w:val="es-ES"/>
        </w:rPr>
        <w:t xml:space="preserve"> </w:t>
      </w:r>
      <w:proofErr w:type="spellStart"/>
      <w:r w:rsidR="007A5590" w:rsidRPr="00201216">
        <w:rPr>
          <w:rFonts w:ascii="Arial" w:hAnsi="Arial" w:cs="Arial"/>
          <w:color w:val="333333"/>
          <w:lang w:val="es-ES"/>
        </w:rPr>
        <w:t>Limited</w:t>
      </w:r>
      <w:proofErr w:type="spellEnd"/>
      <w:r w:rsidR="007A5590">
        <w:rPr>
          <w:rFonts w:ascii="Arial" w:hAnsi="Arial" w:cs="Arial"/>
          <w:color w:val="333333"/>
          <w:lang w:val="es-ES"/>
        </w:rPr>
        <w:t xml:space="preserve"> está registrada en la ASSF.</w:t>
      </w:r>
    </w:p>
    <w:p w:rsidR="00FB4796" w:rsidRPr="00FB4796" w:rsidRDefault="00FB4796" w:rsidP="00FB4796">
      <w:pPr>
        <w:pStyle w:val="Prrafodelista"/>
        <w:rPr>
          <w:rFonts w:ascii="Arial" w:hAnsi="Arial" w:cs="Arial"/>
          <w:color w:val="333333"/>
          <w:lang w:val="es-ES"/>
        </w:rPr>
      </w:pPr>
    </w:p>
    <w:p w:rsidR="00D3363B" w:rsidRDefault="00320098" w:rsidP="00D3363B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proofErr w:type="spellStart"/>
      <w:r w:rsidRPr="00201216">
        <w:rPr>
          <w:rFonts w:ascii="Arial" w:hAnsi="Arial" w:cs="Arial"/>
          <w:color w:val="333333"/>
          <w:lang w:val="es-ES"/>
        </w:rPr>
        <w:t>Insurance</w:t>
      </w:r>
      <w:proofErr w:type="spellEnd"/>
      <w:r w:rsidRPr="00201216">
        <w:rPr>
          <w:rFonts w:ascii="Arial" w:hAnsi="Arial" w:cs="Arial"/>
          <w:color w:val="333333"/>
          <w:lang w:val="es-ES"/>
        </w:rPr>
        <w:t xml:space="preserve"> Managers </w:t>
      </w:r>
      <w:proofErr w:type="spellStart"/>
      <w:r w:rsidRPr="00201216">
        <w:rPr>
          <w:rFonts w:ascii="Arial" w:hAnsi="Arial" w:cs="Arial"/>
          <w:color w:val="333333"/>
          <w:lang w:val="es-ES"/>
        </w:rPr>
        <w:t>Limited</w:t>
      </w:r>
      <w:proofErr w:type="spellEnd"/>
      <w:r w:rsidR="00D3363B">
        <w:rPr>
          <w:rFonts w:ascii="Arial" w:hAnsi="Arial" w:cs="Arial"/>
          <w:color w:val="333333"/>
          <w:lang w:val="es-ES"/>
        </w:rPr>
        <w:t>, empresa de gerencia de aseguradoras que</w:t>
      </w:r>
      <w:r w:rsidRPr="00201216">
        <w:rPr>
          <w:rFonts w:ascii="Arial" w:hAnsi="Arial" w:cs="Arial"/>
          <w:color w:val="333333"/>
          <w:lang w:val="es-ES"/>
        </w:rPr>
        <w:t xml:space="preserve"> tiene una licencia FSSA, ha sido nombrad</w:t>
      </w:r>
      <w:r w:rsidR="003D1B1F">
        <w:rPr>
          <w:rFonts w:ascii="Arial" w:hAnsi="Arial" w:cs="Arial"/>
          <w:color w:val="333333"/>
          <w:lang w:val="es-ES"/>
        </w:rPr>
        <w:t>a</w:t>
      </w:r>
      <w:r w:rsidRPr="00201216">
        <w:rPr>
          <w:rFonts w:ascii="Arial" w:hAnsi="Arial" w:cs="Arial"/>
          <w:color w:val="333333"/>
          <w:lang w:val="es-ES"/>
        </w:rPr>
        <w:t xml:space="preserve"> </w:t>
      </w:r>
      <w:r w:rsidR="00D3363B">
        <w:rPr>
          <w:rFonts w:ascii="Arial" w:hAnsi="Arial" w:cs="Arial"/>
          <w:color w:val="333333"/>
          <w:lang w:val="es-ES"/>
        </w:rPr>
        <w:t xml:space="preserve">para </w:t>
      </w:r>
      <w:proofErr w:type="spellStart"/>
      <w:r w:rsidR="00D3363B">
        <w:rPr>
          <w:rFonts w:ascii="Arial" w:hAnsi="Arial" w:cs="Arial"/>
          <w:color w:val="333333"/>
          <w:lang w:val="es-ES"/>
        </w:rPr>
        <w:t>gerenciar</w:t>
      </w:r>
      <w:proofErr w:type="spellEnd"/>
      <w:r w:rsidR="00D3363B">
        <w:rPr>
          <w:rFonts w:ascii="Arial" w:hAnsi="Arial" w:cs="Arial"/>
          <w:color w:val="333333"/>
          <w:lang w:val="es-ES"/>
        </w:rPr>
        <w:t xml:space="preserve"> </w:t>
      </w:r>
      <w:r w:rsidRPr="00201216">
        <w:rPr>
          <w:rFonts w:ascii="Arial" w:hAnsi="Arial" w:cs="Arial"/>
          <w:color w:val="333333"/>
          <w:lang w:val="es-ES"/>
        </w:rPr>
        <w:t>ABC Re</w:t>
      </w:r>
      <w:r w:rsidR="00D3363B">
        <w:rPr>
          <w:rFonts w:ascii="Arial" w:hAnsi="Arial" w:cs="Arial"/>
          <w:color w:val="333333"/>
          <w:lang w:val="es-ES"/>
        </w:rPr>
        <w:t>.</w:t>
      </w:r>
      <w:r w:rsidRPr="00201216">
        <w:rPr>
          <w:rFonts w:ascii="Arial" w:hAnsi="Arial" w:cs="Arial"/>
          <w:color w:val="333333"/>
          <w:lang w:val="es-ES"/>
        </w:rPr>
        <w:t xml:space="preserve"> Auditores Limita</w:t>
      </w:r>
      <w:r w:rsidR="00D3363B">
        <w:rPr>
          <w:rFonts w:ascii="Arial" w:hAnsi="Arial" w:cs="Arial"/>
          <w:color w:val="333333"/>
          <w:lang w:val="es-ES"/>
        </w:rPr>
        <w:t xml:space="preserve">da, firma de auditoría y contabilidad </w:t>
      </w:r>
      <w:r w:rsidRPr="00201216">
        <w:rPr>
          <w:rFonts w:ascii="Arial" w:hAnsi="Arial" w:cs="Arial"/>
          <w:color w:val="333333"/>
          <w:lang w:val="es-ES"/>
        </w:rPr>
        <w:t>conocid</w:t>
      </w:r>
      <w:r w:rsidR="00412C92">
        <w:rPr>
          <w:rFonts w:ascii="Arial" w:hAnsi="Arial" w:cs="Arial"/>
          <w:color w:val="333333"/>
          <w:lang w:val="es-ES"/>
        </w:rPr>
        <w:t>a</w:t>
      </w:r>
      <w:r w:rsidRPr="00201216">
        <w:rPr>
          <w:rFonts w:ascii="Arial" w:hAnsi="Arial" w:cs="Arial"/>
          <w:color w:val="333333"/>
          <w:lang w:val="es-ES"/>
        </w:rPr>
        <w:t xml:space="preserve"> </w:t>
      </w:r>
      <w:r w:rsidR="0056174B">
        <w:rPr>
          <w:rFonts w:ascii="Arial" w:hAnsi="Arial" w:cs="Arial"/>
          <w:color w:val="333333"/>
          <w:lang w:val="es-ES"/>
        </w:rPr>
        <w:t>-</w:t>
      </w:r>
      <w:r w:rsidRPr="00201216">
        <w:rPr>
          <w:rFonts w:ascii="Arial" w:hAnsi="Arial" w:cs="Arial"/>
          <w:color w:val="333333"/>
          <w:lang w:val="es-ES"/>
        </w:rPr>
        <w:t xml:space="preserve">y </w:t>
      </w:r>
      <w:r w:rsidR="0056174B">
        <w:rPr>
          <w:rFonts w:ascii="Arial" w:hAnsi="Arial" w:cs="Arial"/>
          <w:color w:val="333333"/>
          <w:lang w:val="es-ES"/>
        </w:rPr>
        <w:t>respetada-</w:t>
      </w:r>
      <w:r w:rsidR="00D3363B">
        <w:rPr>
          <w:rFonts w:ascii="Arial" w:hAnsi="Arial" w:cs="Arial"/>
          <w:color w:val="333333"/>
          <w:lang w:val="es-ES"/>
        </w:rPr>
        <w:t xml:space="preserve"> por FSSA, ha sido nombrada</w:t>
      </w:r>
      <w:r w:rsidRPr="00201216">
        <w:rPr>
          <w:rFonts w:ascii="Arial" w:hAnsi="Arial" w:cs="Arial"/>
          <w:color w:val="333333"/>
          <w:lang w:val="es-ES"/>
        </w:rPr>
        <w:t xml:space="preserve"> como </w:t>
      </w:r>
      <w:r w:rsidR="00D3363B">
        <w:rPr>
          <w:rFonts w:ascii="Arial" w:hAnsi="Arial" w:cs="Arial"/>
          <w:color w:val="333333"/>
          <w:lang w:val="es-ES"/>
        </w:rPr>
        <w:t xml:space="preserve">auditor </w:t>
      </w:r>
      <w:r w:rsidRPr="00201216">
        <w:rPr>
          <w:rFonts w:ascii="Arial" w:hAnsi="Arial" w:cs="Arial"/>
          <w:color w:val="333333"/>
          <w:lang w:val="es-ES"/>
        </w:rPr>
        <w:t xml:space="preserve">externo </w:t>
      </w:r>
      <w:r w:rsidR="00D3363B">
        <w:rPr>
          <w:rFonts w:ascii="Arial" w:hAnsi="Arial" w:cs="Arial"/>
          <w:color w:val="333333"/>
          <w:lang w:val="es-ES"/>
        </w:rPr>
        <w:t xml:space="preserve">de </w:t>
      </w:r>
      <w:r w:rsidRPr="00201216">
        <w:rPr>
          <w:rFonts w:ascii="Arial" w:hAnsi="Arial" w:cs="Arial"/>
          <w:color w:val="333333"/>
          <w:lang w:val="es-ES"/>
        </w:rPr>
        <w:t xml:space="preserve">ABC Re. </w:t>
      </w:r>
      <w:r w:rsidR="00D3363B" w:rsidRPr="00201216">
        <w:rPr>
          <w:rFonts w:ascii="Arial" w:hAnsi="Arial" w:cs="Arial"/>
          <w:color w:val="333333"/>
          <w:lang w:val="es-ES"/>
        </w:rPr>
        <w:t>Auditores Limita</w:t>
      </w:r>
      <w:r w:rsidR="00D3363B">
        <w:rPr>
          <w:rFonts w:ascii="Arial" w:hAnsi="Arial" w:cs="Arial"/>
          <w:color w:val="333333"/>
          <w:lang w:val="es-ES"/>
        </w:rPr>
        <w:t>da</w:t>
      </w:r>
      <w:r w:rsidR="00D3363B" w:rsidRPr="00201216">
        <w:rPr>
          <w:rFonts w:ascii="Arial" w:hAnsi="Arial" w:cs="Arial"/>
          <w:color w:val="333333"/>
          <w:lang w:val="es-ES"/>
        </w:rPr>
        <w:t xml:space="preserve"> </w:t>
      </w:r>
      <w:r w:rsidR="00D3363B">
        <w:rPr>
          <w:rFonts w:ascii="Arial" w:hAnsi="Arial" w:cs="Arial"/>
          <w:color w:val="333333"/>
          <w:lang w:val="es-ES"/>
        </w:rPr>
        <w:t>también proveerá a ABC Re el servicio de verificación de pago de siniestros.</w:t>
      </w:r>
    </w:p>
    <w:p w:rsidR="00D3363B" w:rsidRPr="00D3363B" w:rsidRDefault="00D3363B" w:rsidP="00D3363B">
      <w:pPr>
        <w:pStyle w:val="Prrafodelista"/>
        <w:rPr>
          <w:rFonts w:ascii="Arial" w:hAnsi="Arial" w:cs="Arial"/>
          <w:color w:val="333333"/>
          <w:lang w:val="es-ES"/>
        </w:rPr>
      </w:pPr>
    </w:p>
    <w:p w:rsidR="0056174B" w:rsidRDefault="00320098" w:rsidP="00D3363B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r w:rsidRPr="00D3363B">
        <w:rPr>
          <w:rFonts w:ascii="Arial" w:hAnsi="Arial" w:cs="Arial"/>
          <w:color w:val="333333"/>
          <w:lang w:val="es-ES"/>
        </w:rPr>
        <w:t xml:space="preserve">ABC </w:t>
      </w:r>
      <w:r w:rsidR="00D3363B" w:rsidRPr="00D3363B">
        <w:rPr>
          <w:rFonts w:ascii="Arial" w:hAnsi="Arial" w:cs="Arial"/>
          <w:color w:val="333333"/>
          <w:lang w:val="es-ES"/>
        </w:rPr>
        <w:t xml:space="preserve">Re </w:t>
      </w:r>
      <w:r w:rsidR="00D3363B">
        <w:rPr>
          <w:rFonts w:ascii="Arial" w:hAnsi="Arial" w:cs="Arial"/>
          <w:color w:val="333333"/>
          <w:lang w:val="es-ES"/>
        </w:rPr>
        <w:t>tendrá un capital de $1.00</w:t>
      </w:r>
      <w:r w:rsidR="00412C92">
        <w:rPr>
          <w:rFonts w:ascii="Arial" w:hAnsi="Arial" w:cs="Arial"/>
          <w:color w:val="333333"/>
          <w:lang w:val="es-ES"/>
        </w:rPr>
        <w:t xml:space="preserve"> </w:t>
      </w:r>
      <w:r w:rsidR="00D3363B">
        <w:rPr>
          <w:rFonts w:ascii="Arial" w:hAnsi="Arial" w:cs="Arial"/>
          <w:color w:val="333333"/>
          <w:lang w:val="es-ES"/>
        </w:rPr>
        <w:t xml:space="preserve">que será representado por una acción ordinaria de </w:t>
      </w:r>
      <w:r w:rsidRPr="00D3363B">
        <w:rPr>
          <w:rFonts w:ascii="Arial" w:hAnsi="Arial" w:cs="Arial"/>
          <w:color w:val="333333"/>
          <w:lang w:val="es-ES"/>
        </w:rPr>
        <w:t>valor</w:t>
      </w:r>
      <w:r w:rsidR="00D3363B">
        <w:rPr>
          <w:rFonts w:ascii="Arial" w:hAnsi="Arial" w:cs="Arial"/>
          <w:color w:val="333333"/>
          <w:lang w:val="es-ES"/>
        </w:rPr>
        <w:t xml:space="preserve"> nominal de $</w:t>
      </w:r>
      <w:r w:rsidRPr="00D3363B">
        <w:rPr>
          <w:rFonts w:ascii="Arial" w:hAnsi="Arial" w:cs="Arial"/>
          <w:color w:val="333333"/>
          <w:lang w:val="es-ES"/>
        </w:rPr>
        <w:t xml:space="preserve">1.00. El único dueño de la </w:t>
      </w:r>
      <w:r w:rsidR="00D3363B">
        <w:rPr>
          <w:rFonts w:ascii="Arial" w:hAnsi="Arial" w:cs="Arial"/>
          <w:color w:val="333333"/>
          <w:lang w:val="es-ES"/>
        </w:rPr>
        <w:t>única acción de</w:t>
      </w:r>
      <w:r w:rsidRPr="00D3363B">
        <w:rPr>
          <w:rFonts w:ascii="Arial" w:hAnsi="Arial" w:cs="Arial"/>
          <w:color w:val="333333"/>
          <w:lang w:val="es-ES"/>
        </w:rPr>
        <w:t xml:space="preserve"> ABC Re será el Fideicomiso Caritativo ABC. El único beneficiario del Fideicomiso</w:t>
      </w:r>
      <w:r w:rsidR="00D3363B" w:rsidRPr="00D3363B">
        <w:rPr>
          <w:rFonts w:ascii="Arial" w:hAnsi="Arial" w:cs="Arial"/>
          <w:color w:val="333333"/>
          <w:lang w:val="es-ES"/>
        </w:rPr>
        <w:t xml:space="preserve"> Caritativo</w:t>
      </w:r>
      <w:r w:rsidRPr="00D3363B">
        <w:rPr>
          <w:rFonts w:ascii="Arial" w:hAnsi="Arial" w:cs="Arial"/>
          <w:color w:val="333333"/>
          <w:lang w:val="es-ES"/>
        </w:rPr>
        <w:t xml:space="preserve"> ABC </w:t>
      </w:r>
      <w:r w:rsidR="00D3363B">
        <w:rPr>
          <w:rFonts w:ascii="Arial" w:hAnsi="Arial" w:cs="Arial"/>
          <w:color w:val="333333"/>
          <w:lang w:val="es-ES"/>
        </w:rPr>
        <w:t>será</w:t>
      </w:r>
      <w:r w:rsidRPr="00D3363B">
        <w:rPr>
          <w:rFonts w:ascii="Arial" w:hAnsi="Arial" w:cs="Arial"/>
          <w:color w:val="333333"/>
          <w:lang w:val="es-ES"/>
        </w:rPr>
        <w:t xml:space="preserve"> </w:t>
      </w:r>
      <w:r w:rsidR="00D3363B">
        <w:rPr>
          <w:rFonts w:ascii="Arial" w:hAnsi="Arial" w:cs="Arial"/>
          <w:color w:val="333333"/>
          <w:lang w:val="es-ES"/>
        </w:rPr>
        <w:t xml:space="preserve">la </w:t>
      </w:r>
      <w:r w:rsidR="0056174B">
        <w:rPr>
          <w:rFonts w:ascii="Arial" w:hAnsi="Arial" w:cs="Arial"/>
          <w:color w:val="333333"/>
          <w:lang w:val="es-ES"/>
        </w:rPr>
        <w:t>F</w:t>
      </w:r>
      <w:r w:rsidR="00D3363B">
        <w:rPr>
          <w:rFonts w:ascii="Arial" w:hAnsi="Arial" w:cs="Arial"/>
          <w:color w:val="333333"/>
          <w:lang w:val="es-ES"/>
        </w:rPr>
        <w:t xml:space="preserve">undación para la </w:t>
      </w:r>
      <w:r w:rsidR="0056174B">
        <w:rPr>
          <w:rFonts w:ascii="Arial" w:hAnsi="Arial" w:cs="Arial"/>
          <w:color w:val="333333"/>
          <w:lang w:val="es-ES"/>
        </w:rPr>
        <w:t>Investigación</w:t>
      </w:r>
      <w:r w:rsidR="00D3363B">
        <w:rPr>
          <w:rFonts w:ascii="Arial" w:hAnsi="Arial" w:cs="Arial"/>
          <w:color w:val="333333"/>
          <w:lang w:val="es-ES"/>
        </w:rPr>
        <w:t xml:space="preserve"> del </w:t>
      </w:r>
      <w:r w:rsidRPr="00D3363B">
        <w:rPr>
          <w:rFonts w:ascii="Arial" w:hAnsi="Arial" w:cs="Arial"/>
          <w:color w:val="333333"/>
          <w:lang w:val="es-ES"/>
        </w:rPr>
        <w:t>SIDA</w:t>
      </w:r>
      <w:r w:rsidR="0056174B">
        <w:rPr>
          <w:rFonts w:ascii="Arial" w:hAnsi="Arial" w:cs="Arial"/>
          <w:color w:val="333333"/>
          <w:lang w:val="es-ES"/>
        </w:rPr>
        <w:t xml:space="preserve">, un centro de investigación sin fines de lucro </w:t>
      </w:r>
      <w:r w:rsidRPr="00D3363B">
        <w:rPr>
          <w:rFonts w:ascii="Arial" w:hAnsi="Arial" w:cs="Arial"/>
          <w:color w:val="333333"/>
          <w:lang w:val="es-ES"/>
        </w:rPr>
        <w:t xml:space="preserve">muy respetado en su país. Una opinión legal concluyendo que ABC Re es una estructura aislada legalmente ha sido presentado por ABC Re. </w:t>
      </w:r>
      <w:r w:rsidR="0056174B">
        <w:rPr>
          <w:rFonts w:ascii="Arial" w:hAnsi="Arial" w:cs="Arial"/>
          <w:color w:val="333333"/>
          <w:lang w:val="es-ES"/>
        </w:rPr>
        <w:t xml:space="preserve">El </w:t>
      </w:r>
      <w:r w:rsidR="0056174B" w:rsidRPr="00D3363B">
        <w:rPr>
          <w:rFonts w:ascii="Arial" w:hAnsi="Arial" w:cs="Arial"/>
          <w:color w:val="333333"/>
          <w:lang w:val="es-ES"/>
        </w:rPr>
        <w:t xml:space="preserve">Departamento de Seguros </w:t>
      </w:r>
      <w:r w:rsidR="0056174B">
        <w:rPr>
          <w:rFonts w:ascii="Arial" w:hAnsi="Arial" w:cs="Arial"/>
          <w:color w:val="333333"/>
          <w:lang w:val="es-ES"/>
        </w:rPr>
        <w:t>de ASSF</w:t>
      </w:r>
      <w:r w:rsidRPr="00D3363B">
        <w:rPr>
          <w:rFonts w:ascii="Arial" w:hAnsi="Arial" w:cs="Arial"/>
          <w:color w:val="333333"/>
          <w:lang w:val="es-ES"/>
        </w:rPr>
        <w:t xml:space="preserve"> está satisfecho con </w:t>
      </w:r>
      <w:r w:rsidR="0056174B">
        <w:rPr>
          <w:rFonts w:ascii="Arial" w:hAnsi="Arial" w:cs="Arial"/>
          <w:color w:val="333333"/>
          <w:lang w:val="es-ES"/>
        </w:rPr>
        <w:t>dicha opinión.</w:t>
      </w:r>
    </w:p>
    <w:p w:rsidR="0056174B" w:rsidRPr="0056174B" w:rsidRDefault="0056174B" w:rsidP="0056174B">
      <w:pPr>
        <w:pStyle w:val="Prrafodelista"/>
        <w:rPr>
          <w:rFonts w:ascii="Arial" w:hAnsi="Arial" w:cs="Arial"/>
          <w:color w:val="333333"/>
          <w:lang w:val="es-ES"/>
        </w:rPr>
      </w:pPr>
    </w:p>
    <w:p w:rsidR="0056174B" w:rsidRDefault="00320098" w:rsidP="00D3363B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r w:rsidRPr="0056174B">
        <w:rPr>
          <w:rFonts w:ascii="Arial" w:hAnsi="Arial" w:cs="Arial"/>
          <w:color w:val="333333"/>
          <w:lang w:val="es-ES"/>
        </w:rPr>
        <w:t xml:space="preserve">ABC </w:t>
      </w:r>
      <w:r w:rsidR="0056174B" w:rsidRPr="0056174B">
        <w:rPr>
          <w:rFonts w:ascii="Arial" w:hAnsi="Arial" w:cs="Arial"/>
          <w:color w:val="333333"/>
          <w:lang w:val="es-ES"/>
        </w:rPr>
        <w:t xml:space="preserve">Re </w:t>
      </w:r>
      <w:r w:rsidRPr="0056174B">
        <w:rPr>
          <w:rFonts w:ascii="Arial" w:hAnsi="Arial" w:cs="Arial"/>
          <w:color w:val="333333"/>
          <w:lang w:val="es-ES"/>
        </w:rPr>
        <w:t xml:space="preserve">presentó una lista de los </w:t>
      </w:r>
      <w:r w:rsidR="00E51BDF">
        <w:rPr>
          <w:rFonts w:ascii="Arial" w:hAnsi="Arial" w:cs="Arial"/>
          <w:color w:val="333333"/>
          <w:lang w:val="es-ES"/>
        </w:rPr>
        <w:t>posibles</w:t>
      </w:r>
      <w:r w:rsidR="00E51BDF" w:rsidRPr="0056174B">
        <w:rPr>
          <w:rFonts w:ascii="Arial" w:hAnsi="Arial" w:cs="Arial"/>
          <w:color w:val="333333"/>
          <w:lang w:val="es-ES"/>
        </w:rPr>
        <w:t xml:space="preserve"> </w:t>
      </w:r>
      <w:r w:rsidR="0056174B" w:rsidRPr="0056174B">
        <w:rPr>
          <w:rFonts w:ascii="Arial" w:hAnsi="Arial" w:cs="Arial"/>
          <w:color w:val="333333"/>
          <w:lang w:val="es-ES"/>
        </w:rPr>
        <w:t>directores</w:t>
      </w:r>
      <w:r w:rsidRPr="0056174B">
        <w:rPr>
          <w:rFonts w:ascii="Arial" w:hAnsi="Arial" w:cs="Arial"/>
          <w:color w:val="333333"/>
          <w:lang w:val="es-ES"/>
        </w:rPr>
        <w:t xml:space="preserve"> y funcionarios</w:t>
      </w:r>
      <w:r w:rsidR="0056174B" w:rsidRPr="0056174B">
        <w:rPr>
          <w:rFonts w:ascii="Arial" w:hAnsi="Arial" w:cs="Arial"/>
          <w:color w:val="333333"/>
          <w:lang w:val="es-ES"/>
        </w:rPr>
        <w:t xml:space="preserve"> clave de ABC Re, quienes han sido considerados</w:t>
      </w:r>
      <w:r w:rsidRPr="0056174B">
        <w:rPr>
          <w:rFonts w:ascii="Arial" w:hAnsi="Arial" w:cs="Arial"/>
          <w:color w:val="333333"/>
          <w:lang w:val="es-ES"/>
        </w:rPr>
        <w:t xml:space="preserve"> idóneos y adecuados por </w:t>
      </w:r>
      <w:r w:rsidR="0056174B" w:rsidRPr="0056174B">
        <w:rPr>
          <w:rFonts w:ascii="Arial" w:hAnsi="Arial" w:cs="Arial"/>
          <w:color w:val="333333"/>
          <w:lang w:val="es-ES"/>
        </w:rPr>
        <w:t>el</w:t>
      </w:r>
      <w:r w:rsidRPr="0056174B">
        <w:rPr>
          <w:rFonts w:ascii="Arial" w:hAnsi="Arial" w:cs="Arial"/>
          <w:color w:val="333333"/>
          <w:lang w:val="es-ES"/>
        </w:rPr>
        <w:t xml:space="preserve"> </w:t>
      </w:r>
      <w:r w:rsidR="0056174B" w:rsidRPr="0056174B">
        <w:rPr>
          <w:rFonts w:ascii="Arial" w:hAnsi="Arial" w:cs="Arial"/>
          <w:color w:val="333333"/>
          <w:lang w:val="es-ES"/>
        </w:rPr>
        <w:t xml:space="preserve">Departamento de Seguros de </w:t>
      </w:r>
      <w:r w:rsidRPr="0056174B">
        <w:rPr>
          <w:rFonts w:ascii="Arial" w:hAnsi="Arial" w:cs="Arial"/>
          <w:color w:val="333333"/>
          <w:lang w:val="es-ES"/>
        </w:rPr>
        <w:t xml:space="preserve">FSSA. Además, ABC Re </w:t>
      </w:r>
      <w:r w:rsidR="0056174B" w:rsidRPr="0056174B">
        <w:rPr>
          <w:rFonts w:ascii="Arial" w:hAnsi="Arial" w:cs="Arial"/>
          <w:color w:val="333333"/>
          <w:lang w:val="es-ES"/>
        </w:rPr>
        <w:t xml:space="preserve">ha </w:t>
      </w:r>
      <w:r w:rsidRPr="0056174B">
        <w:rPr>
          <w:rFonts w:ascii="Arial" w:hAnsi="Arial" w:cs="Arial"/>
          <w:color w:val="333333"/>
          <w:lang w:val="es-ES"/>
        </w:rPr>
        <w:t xml:space="preserve">presentado un plan de negocio </w:t>
      </w:r>
      <w:r w:rsidR="0056174B" w:rsidRPr="0056174B">
        <w:rPr>
          <w:rFonts w:ascii="Arial" w:hAnsi="Arial" w:cs="Arial"/>
          <w:color w:val="333333"/>
          <w:lang w:val="es-ES"/>
        </w:rPr>
        <w:t>y gestión de la empresa</w:t>
      </w:r>
      <w:r w:rsidRPr="0056174B">
        <w:rPr>
          <w:rFonts w:ascii="Arial" w:hAnsi="Arial" w:cs="Arial"/>
          <w:color w:val="333333"/>
          <w:lang w:val="es-ES"/>
        </w:rPr>
        <w:t xml:space="preserve">, incluyendo detalles de la </w:t>
      </w:r>
      <w:r w:rsidR="0056174B" w:rsidRPr="0056174B">
        <w:rPr>
          <w:rFonts w:ascii="Arial" w:hAnsi="Arial" w:cs="Arial"/>
          <w:color w:val="333333"/>
          <w:lang w:val="es-ES"/>
        </w:rPr>
        <w:t xml:space="preserve">estrategia de ABC Re en lo que </w:t>
      </w:r>
      <w:r w:rsidR="00E51BDF">
        <w:rPr>
          <w:rFonts w:ascii="Arial" w:hAnsi="Arial" w:cs="Arial"/>
          <w:color w:val="333333"/>
          <w:lang w:val="es-ES"/>
        </w:rPr>
        <w:t>se refiere</w:t>
      </w:r>
      <w:r w:rsidR="00E51BDF" w:rsidRPr="0056174B">
        <w:rPr>
          <w:rFonts w:ascii="Arial" w:hAnsi="Arial" w:cs="Arial"/>
          <w:color w:val="333333"/>
          <w:lang w:val="es-ES"/>
        </w:rPr>
        <w:t xml:space="preserve"> </w:t>
      </w:r>
      <w:r w:rsidR="0056174B" w:rsidRPr="0056174B">
        <w:rPr>
          <w:rFonts w:ascii="Arial" w:hAnsi="Arial" w:cs="Arial"/>
          <w:color w:val="333333"/>
          <w:lang w:val="es-ES"/>
        </w:rPr>
        <w:t>a la suscripción de riesgos, los sistemas de gestión y control de los riesgos asumidos por</w:t>
      </w:r>
      <w:r w:rsidR="00412C92">
        <w:rPr>
          <w:rFonts w:ascii="Arial" w:hAnsi="Arial" w:cs="Arial"/>
          <w:color w:val="333333"/>
          <w:lang w:val="es-ES"/>
        </w:rPr>
        <w:t xml:space="preserve"> ABC Re, y los </w:t>
      </w:r>
      <w:r w:rsidR="0056174B" w:rsidRPr="0056174B">
        <w:rPr>
          <w:rFonts w:ascii="Arial" w:hAnsi="Arial" w:cs="Arial"/>
          <w:color w:val="333333"/>
          <w:lang w:val="es-ES"/>
        </w:rPr>
        <w:t>servicios a ser contratados por ABC Re. Dicho plan ha sido considerado satisfactorio por el Departamento de Seguros de FSSA.</w:t>
      </w:r>
    </w:p>
    <w:p w:rsidR="0056174B" w:rsidRPr="0056174B" w:rsidRDefault="0056174B" w:rsidP="0056174B">
      <w:pPr>
        <w:pStyle w:val="Prrafodelista"/>
        <w:rPr>
          <w:rFonts w:ascii="Arial" w:hAnsi="Arial" w:cs="Arial"/>
          <w:color w:val="333333"/>
          <w:lang w:val="es-ES"/>
        </w:rPr>
      </w:pPr>
    </w:p>
    <w:p w:rsidR="00320098" w:rsidRPr="0056174B" w:rsidRDefault="00A97CCC" w:rsidP="00D3363B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 xml:space="preserve">Una vez concluido el pago de siniestros a </w:t>
      </w:r>
      <w:proofErr w:type="spellStart"/>
      <w:r>
        <w:rPr>
          <w:rFonts w:ascii="Arial" w:hAnsi="Arial" w:cs="Arial"/>
          <w:color w:val="333333"/>
          <w:lang w:val="es-ES"/>
        </w:rPr>
        <w:t>CATyC</w:t>
      </w:r>
      <w:proofErr w:type="spellEnd"/>
      <w:r w:rsidRPr="0056174B">
        <w:rPr>
          <w:rFonts w:ascii="Arial" w:hAnsi="Arial" w:cs="Arial"/>
          <w:color w:val="333333"/>
          <w:lang w:val="es-ES"/>
        </w:rPr>
        <w:t xml:space="preserve"> </w:t>
      </w:r>
      <w:r w:rsidR="00320098" w:rsidRPr="0056174B">
        <w:rPr>
          <w:rFonts w:ascii="Arial" w:hAnsi="Arial" w:cs="Arial"/>
          <w:color w:val="333333"/>
          <w:lang w:val="es-ES"/>
        </w:rPr>
        <w:t>(</w:t>
      </w:r>
      <w:r>
        <w:rPr>
          <w:rFonts w:ascii="Arial" w:hAnsi="Arial" w:cs="Arial"/>
          <w:color w:val="333333"/>
          <w:lang w:val="es-ES"/>
        </w:rPr>
        <w:t xml:space="preserve">si es que los riesgos cubiertos por ABC </w:t>
      </w:r>
      <w:r w:rsidR="00412C92">
        <w:rPr>
          <w:rFonts w:ascii="Arial" w:hAnsi="Arial" w:cs="Arial"/>
          <w:color w:val="333333"/>
          <w:lang w:val="es-ES"/>
        </w:rPr>
        <w:t>R</w:t>
      </w:r>
      <w:r w:rsidR="005F5E14">
        <w:rPr>
          <w:rFonts w:ascii="Arial" w:hAnsi="Arial" w:cs="Arial"/>
          <w:color w:val="333333"/>
          <w:lang w:val="es-ES"/>
        </w:rPr>
        <w:t>e llegaran a materializar</w:t>
      </w:r>
      <w:r w:rsidR="00412C92">
        <w:rPr>
          <w:rFonts w:ascii="Arial" w:hAnsi="Arial" w:cs="Arial"/>
          <w:color w:val="333333"/>
          <w:lang w:val="es-ES"/>
        </w:rPr>
        <w:t>se</w:t>
      </w:r>
      <w:r w:rsidR="005F5E14">
        <w:rPr>
          <w:rFonts w:ascii="Arial" w:hAnsi="Arial" w:cs="Arial"/>
          <w:color w:val="333333"/>
          <w:lang w:val="es-ES"/>
        </w:rPr>
        <w:t>),</w:t>
      </w:r>
      <w:r>
        <w:rPr>
          <w:rFonts w:ascii="Arial" w:hAnsi="Arial" w:cs="Arial"/>
          <w:color w:val="333333"/>
          <w:lang w:val="es-ES"/>
        </w:rPr>
        <w:t xml:space="preserve"> </w:t>
      </w:r>
      <w:r w:rsidR="005F5E14">
        <w:rPr>
          <w:rFonts w:ascii="Arial" w:hAnsi="Arial" w:cs="Arial"/>
          <w:color w:val="333333"/>
          <w:lang w:val="es-ES"/>
        </w:rPr>
        <w:t>el pago</w:t>
      </w:r>
      <w:r w:rsidR="00320098" w:rsidRPr="0056174B">
        <w:rPr>
          <w:rFonts w:ascii="Arial" w:hAnsi="Arial" w:cs="Arial"/>
          <w:color w:val="333333"/>
          <w:lang w:val="es-ES"/>
        </w:rPr>
        <w:t xml:space="preserve"> de los servicios a los proveedores de servicios</w:t>
      </w:r>
      <w:r w:rsidR="005F5E14">
        <w:rPr>
          <w:rFonts w:ascii="Arial" w:hAnsi="Arial" w:cs="Arial"/>
          <w:color w:val="333333"/>
          <w:lang w:val="es-ES"/>
        </w:rPr>
        <w:t>,</w:t>
      </w:r>
      <w:r w:rsidR="00320098" w:rsidRPr="0056174B">
        <w:rPr>
          <w:rFonts w:ascii="Arial" w:hAnsi="Arial" w:cs="Arial"/>
          <w:color w:val="333333"/>
          <w:lang w:val="es-ES"/>
        </w:rPr>
        <w:t xml:space="preserve"> y </w:t>
      </w:r>
      <w:r w:rsidR="005F5E14">
        <w:rPr>
          <w:rFonts w:ascii="Arial" w:hAnsi="Arial" w:cs="Arial"/>
          <w:color w:val="333333"/>
          <w:lang w:val="es-ES"/>
        </w:rPr>
        <w:t>el pago de</w:t>
      </w:r>
      <w:r w:rsidR="00320098" w:rsidRPr="0056174B">
        <w:rPr>
          <w:rFonts w:ascii="Arial" w:hAnsi="Arial" w:cs="Arial"/>
          <w:color w:val="333333"/>
          <w:lang w:val="es-ES"/>
        </w:rPr>
        <w:t xml:space="preserve"> capital e intereses a </w:t>
      </w:r>
      <w:r w:rsidR="005F5E14">
        <w:rPr>
          <w:rFonts w:ascii="Arial" w:hAnsi="Arial" w:cs="Arial"/>
          <w:color w:val="333333"/>
          <w:lang w:val="es-ES"/>
        </w:rPr>
        <w:t>los tenedores de B</w:t>
      </w:r>
      <w:r w:rsidR="00320098" w:rsidRPr="0056174B">
        <w:rPr>
          <w:rFonts w:ascii="Arial" w:hAnsi="Arial" w:cs="Arial"/>
          <w:color w:val="333333"/>
          <w:lang w:val="es-ES"/>
        </w:rPr>
        <w:t xml:space="preserve">onos, ABC Re será </w:t>
      </w:r>
      <w:r w:rsidR="005F5E14">
        <w:rPr>
          <w:rFonts w:ascii="Arial" w:hAnsi="Arial" w:cs="Arial"/>
          <w:color w:val="333333"/>
          <w:lang w:val="es-ES"/>
        </w:rPr>
        <w:t xml:space="preserve">disuelta. </w:t>
      </w:r>
      <w:r w:rsidR="00320098" w:rsidRPr="0056174B">
        <w:rPr>
          <w:rFonts w:ascii="Arial" w:hAnsi="Arial" w:cs="Arial"/>
          <w:color w:val="333333"/>
          <w:lang w:val="es-ES"/>
        </w:rPr>
        <w:t xml:space="preserve">Todos los fondos remanentes en la cuenta </w:t>
      </w:r>
      <w:r w:rsidR="005F5E14">
        <w:rPr>
          <w:rFonts w:ascii="Arial" w:hAnsi="Arial" w:cs="Arial"/>
          <w:color w:val="333333"/>
          <w:lang w:val="es-ES"/>
        </w:rPr>
        <w:t xml:space="preserve">de fideicomiso de </w:t>
      </w:r>
      <w:r w:rsidR="00320098" w:rsidRPr="0056174B">
        <w:rPr>
          <w:rFonts w:ascii="Arial" w:hAnsi="Arial" w:cs="Arial"/>
          <w:color w:val="333333"/>
          <w:lang w:val="es-ES"/>
        </w:rPr>
        <w:t xml:space="preserve">ABC Re serán transferidos a la </w:t>
      </w:r>
      <w:r w:rsidR="005F5E14">
        <w:rPr>
          <w:rFonts w:ascii="Arial" w:hAnsi="Arial" w:cs="Arial"/>
          <w:color w:val="333333"/>
          <w:lang w:val="es-ES"/>
        </w:rPr>
        <w:t xml:space="preserve">Fundación para la Investigación del </w:t>
      </w:r>
      <w:r w:rsidR="005F5E14" w:rsidRPr="00D3363B">
        <w:rPr>
          <w:rFonts w:ascii="Arial" w:hAnsi="Arial" w:cs="Arial"/>
          <w:color w:val="333333"/>
          <w:lang w:val="es-ES"/>
        </w:rPr>
        <w:t>SIDA</w:t>
      </w:r>
      <w:r w:rsidR="00320098" w:rsidRPr="0056174B">
        <w:rPr>
          <w:rFonts w:ascii="Arial" w:hAnsi="Arial" w:cs="Arial"/>
          <w:color w:val="333333"/>
          <w:lang w:val="es-ES"/>
        </w:rPr>
        <w:t>, único propietario de ABC Re.</w:t>
      </w:r>
    </w:p>
    <w:p w:rsidR="009A307B" w:rsidRDefault="009A307B">
      <w:pPr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br w:type="page"/>
      </w:r>
    </w:p>
    <w:p w:rsidR="009A307B" w:rsidRPr="009A307B" w:rsidRDefault="009A307B" w:rsidP="009A307B">
      <w:pPr>
        <w:jc w:val="both"/>
        <w:rPr>
          <w:rFonts w:ascii="Arial" w:hAnsi="Arial" w:cs="Arial"/>
          <w:color w:val="333333"/>
          <w:lang w:val="es-ES"/>
        </w:rPr>
      </w:pPr>
    </w:p>
    <w:tbl>
      <w:tblPr>
        <w:tblW w:w="9192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981"/>
        <w:gridCol w:w="483"/>
        <w:gridCol w:w="618"/>
        <w:gridCol w:w="536"/>
        <w:gridCol w:w="1182"/>
        <w:gridCol w:w="788"/>
        <w:gridCol w:w="433"/>
        <w:gridCol w:w="282"/>
        <w:gridCol w:w="977"/>
        <w:gridCol w:w="154"/>
        <w:gridCol w:w="82"/>
        <w:gridCol w:w="766"/>
        <w:gridCol w:w="818"/>
      </w:tblGrid>
      <w:tr w:rsidR="000D7096" w:rsidRPr="00C6586D" w:rsidTr="00053F80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A4E75" w:rsidRPr="00C6586D" w:rsidTr="00053F80">
        <w:trPr>
          <w:jc w:val="center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4E75" w:rsidRPr="00F647BD" w:rsidRDefault="00B201A1" w:rsidP="006C12A6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47B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Estructura de la operaci</w:t>
            </w:r>
            <w:r w:rsidR="006C12A6" w:rsidRPr="00F647B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ó</w:t>
            </w:r>
            <w:r w:rsidRPr="00F647BD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n de transferencia de riesgos</w:t>
            </w:r>
          </w:p>
        </w:tc>
      </w:tr>
      <w:tr w:rsidR="000D7096" w:rsidRPr="00C6586D" w:rsidTr="00C6586D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C359A" w:rsidRPr="00F647BD" w:rsidRDefault="007C359A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D7096" w:rsidRPr="00AA08D8" w:rsidTr="00C6586D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9C7A7F" w:rsidRPr="00C6586D" w:rsidRDefault="009C7A7F" w:rsidP="0059507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 xml:space="preserve">ABC Re </w:t>
            </w:r>
            <w:r w:rsidR="00062691" w:rsidRPr="00C6586D">
              <w:rPr>
                <w:rFonts w:ascii="Arial" w:hAnsi="Arial" w:cs="Arial"/>
                <w:sz w:val="22"/>
                <w:szCs w:val="22"/>
                <w:lang w:val="es-CL"/>
              </w:rPr>
              <w:t>Fideic</w:t>
            </w:r>
            <w:r w:rsidR="00062691">
              <w:rPr>
                <w:rFonts w:ascii="Arial" w:hAnsi="Arial" w:cs="Arial"/>
                <w:sz w:val="22"/>
                <w:szCs w:val="22"/>
                <w:lang w:val="es-CL"/>
              </w:rPr>
              <w:t>o</w:t>
            </w:r>
            <w:r w:rsidR="00062691" w:rsidRPr="00C6586D">
              <w:rPr>
                <w:rFonts w:ascii="Arial" w:hAnsi="Arial" w:cs="Arial"/>
                <w:sz w:val="22"/>
                <w:szCs w:val="22"/>
                <w:lang w:val="es-CL"/>
              </w:rPr>
              <w:t xml:space="preserve">miso </w:t>
            </w:r>
            <w:r w:rsidR="00595079" w:rsidRPr="00C6586D">
              <w:rPr>
                <w:rFonts w:ascii="Arial" w:hAnsi="Arial" w:cs="Arial"/>
                <w:sz w:val="22"/>
                <w:szCs w:val="22"/>
                <w:lang w:val="es-CL"/>
              </w:rPr>
              <w:t>Caritativo</w:t>
            </w:r>
          </w:p>
          <w:p w:rsidR="00595079" w:rsidRPr="00C6586D" w:rsidRDefault="00595079" w:rsidP="0059507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9C7A7F" w:rsidRPr="00C6586D" w:rsidRDefault="000D7096" w:rsidP="00C04816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Proveedores</w:t>
            </w:r>
            <w:r w:rsidR="009C7A7F" w:rsidRPr="00C6586D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de servicios</w:t>
            </w:r>
            <w:r w:rsidR="00060203" w:rsidRPr="00C6586D">
              <w:rPr>
                <w:rFonts w:ascii="Arial" w:hAnsi="Arial" w:cs="Arial"/>
                <w:sz w:val="22"/>
                <w:szCs w:val="22"/>
                <w:lang w:val="es-CL"/>
              </w:rPr>
              <w:t>(*)</w:t>
            </w:r>
          </w:p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0D7096" w:rsidRPr="00AA08D8" w:rsidTr="00053F80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04E" w:rsidRPr="009C7A7F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AA08D8" w:rsidTr="00053F80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74FF7" w:rsidRPr="00C6586D" w:rsidRDefault="00374FF7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74FF7" w:rsidRPr="00C6586D" w:rsidRDefault="00374FF7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74FF7" w:rsidRPr="00C6586D" w:rsidRDefault="00374FF7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FF7" w:rsidRPr="00C6586D" w:rsidRDefault="00374FF7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FF7" w:rsidRPr="00C6586D" w:rsidRDefault="0048672E" w:rsidP="00374FF7">
            <w:pPr>
              <w:pStyle w:val="Textoindependiente"/>
              <w:spacing w:after="0"/>
              <w:jc w:val="right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>Propiedad</w:t>
            </w:r>
            <w:r w:rsidR="00374FF7" w:rsidRPr="00C6586D">
              <w:rPr>
                <w:rFonts w:ascii="Arial" w:hAnsi="Arial" w:cs="Arial"/>
                <w:sz w:val="18"/>
                <w:szCs w:val="18"/>
                <w:lang w:val="es-CL"/>
              </w:rPr>
              <w:t xml:space="preserve"> (100%)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FF7" w:rsidRPr="00C6586D" w:rsidRDefault="00374FF7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FF7" w:rsidRPr="00C6586D" w:rsidRDefault="00374FF7" w:rsidP="000D7096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Provisi</w:t>
            </w:r>
            <w:r w:rsidR="000D7096" w:rsidRPr="00C6586D">
              <w:rPr>
                <w:rFonts w:ascii="Arial" w:hAnsi="Arial" w:cs="Arial"/>
                <w:sz w:val="18"/>
                <w:szCs w:val="18"/>
                <w:lang w:val="es-CL"/>
              </w:rPr>
              <w:t>ó</w:t>
            </w: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 xml:space="preserve">n </w:t>
            </w:r>
            <w:r w:rsidR="000D7096" w:rsidRPr="00C6586D">
              <w:rPr>
                <w:rFonts w:ascii="Arial" w:hAnsi="Arial" w:cs="Arial"/>
                <w:sz w:val="18"/>
                <w:szCs w:val="18"/>
                <w:lang w:val="es-CL"/>
              </w:rPr>
              <w:t>de</w:t>
            </w: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 xml:space="preserve"> servic</w:t>
            </w:r>
            <w:r w:rsidR="000D7096" w:rsidRPr="00C6586D">
              <w:rPr>
                <w:rFonts w:ascii="Arial" w:hAnsi="Arial" w:cs="Arial"/>
                <w:sz w:val="18"/>
                <w:szCs w:val="18"/>
                <w:lang w:val="es-CL"/>
              </w:rPr>
              <w:t>io</w:t>
            </w: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s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FF7" w:rsidRPr="009C7A7F" w:rsidRDefault="00374FF7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AA08D8" w:rsidTr="00053F80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9C7A7F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AA08D8" w:rsidTr="0023312C">
        <w:trPr>
          <w:jc w:val="center"/>
        </w:trPr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4E" w:rsidRPr="00C6586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4E" w:rsidRPr="009C7A7F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AA08D8" w:rsidTr="0023312C">
        <w:trPr>
          <w:trHeight w:val="20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bookmarkStart w:id="0" w:name="_GoBack" w:colFirst="0" w:colLast="0"/>
          </w:p>
          <w:p w:rsidR="009C7A7F" w:rsidRPr="00C6586D" w:rsidRDefault="000D7096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Asegu</w:t>
            </w:r>
            <w:r w:rsidR="009A09D7" w:rsidRPr="00C6586D">
              <w:rPr>
                <w:rFonts w:ascii="Arial" w:hAnsi="Arial" w:cs="Arial"/>
                <w:sz w:val="22"/>
                <w:szCs w:val="22"/>
                <w:lang w:val="es-CL"/>
              </w:rPr>
              <w:t>-</w:t>
            </w: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rados</w:t>
            </w:r>
            <w:proofErr w:type="spellEnd"/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7F" w:rsidRPr="00C6586D" w:rsidRDefault="000D7096" w:rsidP="000D7096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Contratos de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9C7A7F" w:rsidRPr="00C6586D" w:rsidRDefault="000D7096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C6586D">
              <w:rPr>
                <w:rFonts w:ascii="Arial" w:hAnsi="Arial" w:cs="Arial"/>
                <w:color w:val="333333"/>
                <w:lang w:val="es-CL"/>
              </w:rPr>
              <w:t>CATyC</w:t>
            </w:r>
            <w:proofErr w:type="spellEnd"/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7F" w:rsidRPr="00C6586D" w:rsidRDefault="000D7096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Contrato de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9C7A7F" w:rsidRPr="00C6586D" w:rsidRDefault="009C7A7F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ABC Re</w:t>
            </w:r>
          </w:p>
          <w:p w:rsidR="009C7A7F" w:rsidRPr="00C6586D" w:rsidRDefault="009C7A7F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7F" w:rsidRPr="00C6586D" w:rsidRDefault="000D7096" w:rsidP="000D7096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Emisión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9C7A7F" w:rsidRPr="00C6586D" w:rsidRDefault="000D7096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Inversores</w:t>
            </w:r>
            <w:r w:rsidR="009C7A7F" w:rsidRPr="00C6586D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Mercados</w:t>
            </w:r>
            <w:r w:rsidR="009C7A7F" w:rsidRPr="00C6586D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de Capital</w:t>
            </w:r>
          </w:p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bookmarkEnd w:id="0"/>
      <w:tr w:rsidR="000D7096" w:rsidRPr="00AA08D8" w:rsidTr="0023312C">
        <w:trPr>
          <w:trHeight w:val="155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0D7096" w:rsidP="000D7096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Seguros</w:t>
            </w: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0D7096" w:rsidP="009C7A7F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Reaseguro</w:t>
            </w:r>
          </w:p>
        </w:tc>
        <w:tc>
          <w:tcPr>
            <w:tcW w:w="15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0D7096" w:rsidP="000D7096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de</w:t>
            </w:r>
            <w:r w:rsidR="00722F9B" w:rsidRPr="00C6586D">
              <w:rPr>
                <w:rFonts w:ascii="Arial" w:hAnsi="Arial" w:cs="Arial"/>
                <w:sz w:val="18"/>
                <w:szCs w:val="18"/>
                <w:lang w:val="es-CL"/>
              </w:rPr>
              <w:t xml:space="preserve"> Bon</w:t>
            </w: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o</w:t>
            </w:r>
            <w:r w:rsidR="00722F9B" w:rsidRPr="00C6586D">
              <w:rPr>
                <w:rFonts w:ascii="Arial" w:hAnsi="Arial" w:cs="Arial"/>
                <w:sz w:val="18"/>
                <w:szCs w:val="18"/>
                <w:lang w:val="es-CL"/>
              </w:rPr>
              <w:t>s</w:t>
            </w: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0D7096" w:rsidRPr="00AA08D8" w:rsidTr="0023312C">
        <w:trPr>
          <w:trHeight w:val="155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BDE" w:rsidRPr="00C6586D" w:rsidRDefault="000D7096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Primas</w:t>
            </w: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BDE" w:rsidRPr="00C6586D" w:rsidRDefault="00972BDE" w:rsidP="009C7A7F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5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BDE" w:rsidRPr="00C6586D" w:rsidRDefault="000D7096" w:rsidP="00374FF7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Compra</w:t>
            </w: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0D7096" w:rsidRPr="00AA08D8" w:rsidTr="0023312C">
        <w:trPr>
          <w:trHeight w:val="223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9C7A7F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7F" w:rsidRPr="00C6586D" w:rsidRDefault="00B312B3" w:rsidP="000D7096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 xml:space="preserve">&amp; </w:t>
            </w:r>
            <w:r w:rsidR="000D7096" w:rsidRPr="00C6586D">
              <w:rPr>
                <w:rFonts w:ascii="Arial" w:hAnsi="Arial" w:cs="Arial"/>
                <w:sz w:val="18"/>
                <w:szCs w:val="18"/>
                <w:lang w:val="es-CL"/>
              </w:rPr>
              <w:t>siniestros</w:t>
            </w:r>
          </w:p>
        </w:tc>
        <w:tc>
          <w:tcPr>
            <w:tcW w:w="11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5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7F" w:rsidRPr="00C6586D" w:rsidRDefault="000D7096" w:rsidP="000D7096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de</w:t>
            </w:r>
            <w:r w:rsidR="00B312B3" w:rsidRPr="00C6586D">
              <w:rPr>
                <w:rFonts w:ascii="Arial" w:hAnsi="Arial" w:cs="Arial"/>
                <w:sz w:val="18"/>
                <w:szCs w:val="18"/>
                <w:lang w:val="es-CL"/>
              </w:rPr>
              <w:t xml:space="preserve"> Bon</w:t>
            </w: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o</w:t>
            </w:r>
            <w:r w:rsidR="00B312B3" w:rsidRPr="00C6586D">
              <w:rPr>
                <w:rFonts w:ascii="Arial" w:hAnsi="Arial" w:cs="Arial"/>
                <w:sz w:val="18"/>
                <w:szCs w:val="18"/>
                <w:lang w:val="es-CL"/>
              </w:rPr>
              <w:t>s</w:t>
            </w:r>
          </w:p>
        </w:tc>
        <w:tc>
          <w:tcPr>
            <w:tcW w:w="1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F" w:rsidRPr="00C6586D" w:rsidRDefault="009C7A7F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0D7096" w:rsidRPr="00AA08D8" w:rsidTr="00053F80">
        <w:trPr>
          <w:jc w:val="center"/>
        </w:trPr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BDE" w:rsidRPr="009C7A7F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AA08D8" w:rsidTr="00053F80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9C7A7F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AA08D8" w:rsidTr="00053F80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9C7A7F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AA08D8" w:rsidTr="00053F80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972BDE" w:rsidRPr="00C6586D" w:rsidRDefault="00595079" w:rsidP="00A550F0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Cuenta de</w:t>
            </w:r>
            <w:r w:rsidR="00972BDE" w:rsidRPr="00C6586D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C6586D">
              <w:rPr>
                <w:rFonts w:ascii="Arial" w:hAnsi="Arial" w:cs="Arial"/>
                <w:sz w:val="22"/>
                <w:szCs w:val="22"/>
                <w:lang w:val="es-CL"/>
              </w:rPr>
              <w:t>Fideicomiso</w:t>
            </w:r>
          </w:p>
          <w:p w:rsidR="00595079" w:rsidRPr="00C6586D" w:rsidRDefault="00595079" w:rsidP="00A550F0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972BDE" w:rsidRPr="00C6586D" w:rsidRDefault="00972BDE" w:rsidP="00A550F0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9C7A7F" w:rsidRDefault="00972BD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AA08D8" w:rsidTr="00053F80">
        <w:trPr>
          <w:trHeight w:val="143"/>
          <w:jc w:val="center"/>
        </w:trPr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BDE" w:rsidRPr="00C6586D" w:rsidRDefault="00972BDE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0D7096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Primas</w:t>
            </w:r>
            <w:r w:rsidR="00972BDE" w:rsidRPr="00C6586D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5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053F80" w:rsidP="00374FF7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Pago de Bono</w:t>
            </w:r>
            <w:r w:rsidR="00972BDE" w:rsidRPr="00C6586D">
              <w:rPr>
                <w:rFonts w:ascii="Arial" w:hAnsi="Arial" w:cs="Arial"/>
                <w:sz w:val="18"/>
                <w:szCs w:val="18"/>
                <w:lang w:val="es-CL"/>
              </w:rPr>
              <w:t>s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9C7A7F" w:rsidRDefault="00972BDE" w:rsidP="00A550F0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096" w:rsidRPr="0098285F" w:rsidTr="00053F80">
        <w:trPr>
          <w:trHeight w:val="255"/>
          <w:jc w:val="center"/>
        </w:trPr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72BDE" w:rsidRPr="00C6586D" w:rsidRDefault="00972BDE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BDE" w:rsidRPr="00C6586D" w:rsidRDefault="000D7096" w:rsidP="00972BDE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Siniestros</w:t>
            </w:r>
          </w:p>
        </w:tc>
        <w:tc>
          <w:tcPr>
            <w:tcW w:w="15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E" w:rsidRPr="00C6586D" w:rsidRDefault="00972BDE" w:rsidP="00A550F0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BDE" w:rsidRPr="00C6586D" w:rsidRDefault="00053F80" w:rsidP="00053F80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C6586D">
              <w:rPr>
                <w:rFonts w:ascii="Arial" w:hAnsi="Arial" w:cs="Arial"/>
                <w:sz w:val="18"/>
                <w:szCs w:val="18"/>
                <w:lang w:val="es-CL"/>
              </w:rPr>
              <w:t>Repago de Bonos (capital e interés)</w:t>
            </w: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BDE" w:rsidRPr="00F647BD" w:rsidRDefault="00972BDE" w:rsidP="00A550F0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D7096" w:rsidRPr="0098285F" w:rsidTr="00053F80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B6D09" w:rsidRPr="00F647BD" w:rsidRDefault="00EB6D09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1304E" w:rsidRPr="00F647BD" w:rsidRDefault="00A1304E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B089D" w:rsidRPr="0098285F" w:rsidTr="00053F80">
        <w:trPr>
          <w:jc w:val="center"/>
        </w:trPr>
        <w:tc>
          <w:tcPr>
            <w:tcW w:w="91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B089D" w:rsidRPr="00C6586D" w:rsidRDefault="00DB089D" w:rsidP="008129A9">
            <w:pPr>
              <w:pStyle w:val="Textoindependiente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6586D">
              <w:rPr>
                <w:rFonts w:ascii="Arial" w:hAnsi="Arial" w:cs="Arial"/>
                <w:sz w:val="18"/>
                <w:szCs w:val="18"/>
              </w:rPr>
              <w:t xml:space="preserve">(*) </w:t>
            </w:r>
            <w:proofErr w:type="spellStart"/>
            <w:r w:rsidR="000D7096" w:rsidRPr="00C6586D">
              <w:rPr>
                <w:rFonts w:ascii="Arial" w:hAnsi="Arial" w:cs="Arial"/>
                <w:sz w:val="18"/>
                <w:szCs w:val="18"/>
              </w:rPr>
              <w:t>Proveedores</w:t>
            </w:r>
            <w:proofErr w:type="spellEnd"/>
            <w:r w:rsidR="000D7096" w:rsidRPr="00C6586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0D7096" w:rsidRPr="00C6586D">
              <w:rPr>
                <w:rFonts w:ascii="Arial" w:hAnsi="Arial" w:cs="Arial"/>
                <w:sz w:val="18"/>
                <w:szCs w:val="18"/>
              </w:rPr>
              <w:t>servicios</w:t>
            </w:r>
            <w:proofErr w:type="spellEnd"/>
            <w:r w:rsidR="000D7096" w:rsidRPr="00C658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7096" w:rsidRPr="00C6586D">
              <w:rPr>
                <w:rFonts w:ascii="Arial" w:hAnsi="Arial" w:cs="Arial"/>
                <w:sz w:val="18"/>
                <w:szCs w:val="18"/>
              </w:rPr>
              <w:t>incluye</w:t>
            </w:r>
            <w:r w:rsidR="00595079" w:rsidRPr="00C6586D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="000D7096" w:rsidRPr="00C6586D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="000D7096" w:rsidRPr="00C6586D">
              <w:rPr>
                <w:rFonts w:ascii="Arial" w:hAnsi="Arial" w:cs="Arial"/>
                <w:sz w:val="18"/>
                <w:szCs w:val="18"/>
              </w:rPr>
              <w:t>bancos</w:t>
            </w:r>
            <w:proofErr w:type="spellEnd"/>
            <w:r w:rsidR="000D7096" w:rsidRPr="00C6586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8014AD" w:rsidRPr="00C6586D">
              <w:rPr>
                <w:rFonts w:ascii="Arial" w:hAnsi="Arial" w:cs="Arial"/>
                <w:sz w:val="18"/>
                <w:szCs w:val="18"/>
              </w:rPr>
              <w:t>gestores</w:t>
            </w:r>
            <w:proofErr w:type="spellEnd"/>
            <w:r w:rsidR="008014AD" w:rsidRPr="00C658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096" w:rsidRPr="00C6586D">
              <w:rPr>
                <w:rFonts w:ascii="Arial" w:hAnsi="Arial" w:cs="Arial"/>
                <w:sz w:val="18"/>
                <w:szCs w:val="18"/>
              </w:rPr>
              <w:t xml:space="preserve"> de</w:t>
            </w:r>
            <w:proofErr w:type="gramEnd"/>
            <w:r w:rsidR="000D7096" w:rsidRPr="00C658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D7096" w:rsidRPr="00C6586D">
              <w:rPr>
                <w:rFonts w:ascii="Arial" w:hAnsi="Arial" w:cs="Arial"/>
                <w:sz w:val="18"/>
                <w:szCs w:val="18"/>
              </w:rPr>
              <w:t>activos</w:t>
            </w:r>
            <w:proofErr w:type="spellEnd"/>
            <w:r w:rsidR="008014AD" w:rsidRPr="00C6586D">
              <w:rPr>
                <w:rFonts w:ascii="Arial" w:hAnsi="Arial" w:cs="Arial"/>
                <w:sz w:val="18"/>
                <w:szCs w:val="18"/>
              </w:rPr>
              <w:t xml:space="preserve"> de ABC Re</w:t>
            </w:r>
            <w:r w:rsidR="00EB6D09" w:rsidRPr="00C6586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95079" w:rsidRPr="00C6586D">
              <w:rPr>
                <w:rFonts w:ascii="Arial" w:hAnsi="Arial" w:cs="Arial"/>
                <w:sz w:val="18"/>
                <w:szCs w:val="18"/>
              </w:rPr>
              <w:t>empresa</w:t>
            </w:r>
            <w:proofErr w:type="spellEnd"/>
            <w:r w:rsidR="00595079" w:rsidRPr="00C6586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595079" w:rsidRPr="00C6586D">
              <w:rPr>
                <w:rFonts w:ascii="Arial" w:hAnsi="Arial" w:cs="Arial"/>
                <w:sz w:val="18"/>
                <w:szCs w:val="18"/>
              </w:rPr>
              <w:t>gerenciamiento</w:t>
            </w:r>
            <w:proofErr w:type="spellEnd"/>
            <w:r w:rsidR="00595079" w:rsidRPr="00C6586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595079" w:rsidRPr="00C6586D">
              <w:rPr>
                <w:rFonts w:ascii="Arial" w:hAnsi="Arial" w:cs="Arial"/>
                <w:sz w:val="18"/>
                <w:szCs w:val="18"/>
              </w:rPr>
              <w:t>aseguradoras</w:t>
            </w:r>
            <w:proofErr w:type="spellEnd"/>
            <w:r w:rsidR="00595079" w:rsidRPr="00C6586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95079" w:rsidRPr="00C6586D">
              <w:rPr>
                <w:rFonts w:ascii="Arial" w:hAnsi="Arial" w:cs="Arial"/>
                <w:sz w:val="18"/>
                <w:szCs w:val="18"/>
              </w:rPr>
              <w:t>auditor</w:t>
            </w:r>
            <w:r w:rsidR="00062691" w:rsidRPr="00C6586D">
              <w:rPr>
                <w:rFonts w:ascii="Arial" w:hAnsi="Arial" w:cs="Arial"/>
                <w:sz w:val="18"/>
                <w:szCs w:val="18"/>
              </w:rPr>
              <w:t>e</w:t>
            </w:r>
            <w:r w:rsidR="00595079" w:rsidRPr="00C6586D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595079" w:rsidRPr="00C6586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95079" w:rsidRPr="00C6586D">
              <w:rPr>
                <w:rFonts w:ascii="Arial" w:hAnsi="Arial" w:cs="Arial"/>
                <w:sz w:val="18"/>
                <w:szCs w:val="18"/>
              </w:rPr>
              <w:t>agentes</w:t>
            </w:r>
            <w:proofErr w:type="spellEnd"/>
            <w:r w:rsidR="00595079" w:rsidRPr="00C6586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595079" w:rsidRPr="00C6586D">
              <w:rPr>
                <w:rFonts w:ascii="Arial" w:hAnsi="Arial" w:cs="Arial"/>
                <w:sz w:val="18"/>
                <w:szCs w:val="18"/>
              </w:rPr>
              <w:t>verificaci</w:t>
            </w:r>
            <w:r w:rsidR="00412C92" w:rsidRPr="00C6586D">
              <w:rPr>
                <w:rFonts w:ascii="Arial" w:hAnsi="Arial" w:cs="Arial"/>
                <w:sz w:val="18"/>
                <w:szCs w:val="18"/>
              </w:rPr>
              <w:t>ó</w:t>
            </w:r>
            <w:r w:rsidR="00595079" w:rsidRPr="00C6586D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="00595079" w:rsidRPr="00C6586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595079" w:rsidRPr="00C6586D">
              <w:rPr>
                <w:rFonts w:ascii="Arial" w:hAnsi="Arial" w:cs="Arial"/>
                <w:sz w:val="18"/>
                <w:szCs w:val="18"/>
              </w:rPr>
              <w:t>pagos</w:t>
            </w:r>
            <w:proofErr w:type="spellEnd"/>
            <w:r w:rsidR="00595079" w:rsidRPr="00C6586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595079" w:rsidRPr="00C6586D">
              <w:rPr>
                <w:rFonts w:ascii="Arial" w:hAnsi="Arial" w:cs="Arial"/>
                <w:sz w:val="18"/>
                <w:szCs w:val="18"/>
              </w:rPr>
              <w:t>siniestro</w:t>
            </w:r>
            <w:proofErr w:type="spellEnd"/>
            <w:r w:rsidR="00595079" w:rsidRPr="00C6586D">
              <w:rPr>
                <w:rFonts w:ascii="Arial" w:hAnsi="Arial" w:cs="Arial"/>
                <w:sz w:val="18"/>
                <w:szCs w:val="18"/>
              </w:rPr>
              <w:t>, etc.</w:t>
            </w:r>
          </w:p>
          <w:p w:rsidR="0025468C" w:rsidRPr="00C6586D" w:rsidRDefault="0025468C" w:rsidP="008129A9">
            <w:pPr>
              <w:pStyle w:val="Textoindependiente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B089D" w:rsidRPr="00C6586D" w:rsidRDefault="00DB089D" w:rsidP="008129A9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77B" w:rsidRDefault="0025468C" w:rsidP="00F95D8F">
      <w:pPr>
        <w:jc w:val="center"/>
        <w:rPr>
          <w:rFonts w:ascii="Arial" w:hAnsi="Arial" w:cs="Aria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72B7C9B4" wp14:editId="0FC1F1B5">
            <wp:extent cx="5524500" cy="31718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3DF3" w:rsidRDefault="0023312C" w:rsidP="006C12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93DF3" w:rsidRDefault="00E93DF3" w:rsidP="008641AC">
      <w:pPr>
        <w:spacing w:after="0" w:line="240" w:lineRule="auto"/>
        <w:rPr>
          <w:rFonts w:ascii="Arial" w:hAnsi="Arial" w:cs="Arial"/>
        </w:rPr>
      </w:pPr>
    </w:p>
    <w:p w:rsidR="00E93DF3" w:rsidRDefault="00E93DF3" w:rsidP="00E93D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 wp14:anchorId="1E627536" wp14:editId="423764E5">
            <wp:extent cx="5964865" cy="68012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81" cy="68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F3" w:rsidRDefault="00E93DF3" w:rsidP="00E9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E93DF3" w:rsidRPr="00C17A21" w:rsidRDefault="00E93DF3" w:rsidP="00E93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47BD">
        <w:rPr>
          <w:rFonts w:ascii="Arial" w:hAnsi="Arial" w:cs="Arial"/>
          <w:u w:val="single"/>
          <w:lang w:val="es-MX"/>
        </w:rPr>
        <w:t>Fuente</w:t>
      </w:r>
      <w:r w:rsidRPr="00F647BD">
        <w:rPr>
          <w:rFonts w:ascii="Arial" w:hAnsi="Arial" w:cs="Arial"/>
          <w:lang w:val="es-MX"/>
        </w:rPr>
        <w:t xml:space="preserve">: von Dahlen, S. y von Peter, G. (2012). </w:t>
      </w:r>
      <w:r>
        <w:rPr>
          <w:rFonts w:ascii="Arial" w:hAnsi="Arial" w:cs="Arial"/>
        </w:rPr>
        <w:t>Natural c</w:t>
      </w:r>
      <w:r w:rsidRPr="00C17A21">
        <w:rPr>
          <w:rFonts w:ascii="Arial" w:hAnsi="Arial" w:cs="Arial"/>
        </w:rPr>
        <w:t>atastrophes and global reinsurance –</w:t>
      </w:r>
    </w:p>
    <w:p w:rsidR="00E93DF3" w:rsidRDefault="00E93DF3" w:rsidP="00E93DF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C17A21">
        <w:rPr>
          <w:rFonts w:ascii="Arial" w:hAnsi="Arial" w:cs="Arial"/>
        </w:rPr>
        <w:t>xploring</w:t>
      </w:r>
      <w:proofErr w:type="gramEnd"/>
      <w:r w:rsidRPr="00C17A21">
        <w:rPr>
          <w:rFonts w:ascii="Arial" w:hAnsi="Arial" w:cs="Arial"/>
        </w:rPr>
        <w:t xml:space="preserve"> the linkages</w:t>
      </w:r>
      <w:r>
        <w:rPr>
          <w:rFonts w:ascii="Arial" w:hAnsi="Arial" w:cs="Arial"/>
        </w:rPr>
        <w:t xml:space="preserve">. </w:t>
      </w:r>
      <w:r w:rsidRPr="00C17A21">
        <w:rPr>
          <w:rFonts w:ascii="Arial" w:hAnsi="Arial" w:cs="Arial"/>
          <w:i/>
        </w:rPr>
        <w:t>BIS Quarterly Review</w:t>
      </w:r>
      <w:r w:rsidRPr="00C17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</w:t>
      </w:r>
      <w:r w:rsidR="00062691">
        <w:rPr>
          <w:rFonts w:ascii="Arial" w:hAnsi="Arial" w:cs="Arial"/>
        </w:rPr>
        <w:t>e</w:t>
      </w:r>
      <w:r>
        <w:rPr>
          <w:rFonts w:ascii="Arial" w:hAnsi="Arial" w:cs="Arial"/>
        </w:rPr>
        <w:t>cembe</w:t>
      </w:r>
      <w:r w:rsidR="00062691">
        <w:rPr>
          <w:rFonts w:ascii="Arial" w:hAnsi="Arial" w:cs="Arial"/>
        </w:rPr>
        <w:t>r</w:t>
      </w:r>
      <w:r w:rsidRPr="00C17A21">
        <w:rPr>
          <w:rFonts w:ascii="Arial" w:hAnsi="Arial" w:cs="Arial"/>
        </w:rPr>
        <w:t xml:space="preserve"> 2012</w:t>
      </w:r>
      <w:r>
        <w:rPr>
          <w:rFonts w:ascii="Arial" w:hAnsi="Arial" w:cs="Arial"/>
        </w:rPr>
        <w:t>, pp. 23-</w:t>
      </w:r>
      <w:r w:rsidRPr="00C17A21">
        <w:rPr>
          <w:rFonts w:ascii="Arial" w:hAnsi="Arial" w:cs="Arial"/>
        </w:rPr>
        <w:t>35</w:t>
      </w:r>
      <w:r>
        <w:rPr>
          <w:rFonts w:ascii="Arial" w:hAnsi="Arial" w:cs="Arial"/>
        </w:rPr>
        <w:t>.</w:t>
      </w:r>
    </w:p>
    <w:p w:rsidR="00E93DF3" w:rsidRPr="00B24DAA" w:rsidRDefault="001B2828" w:rsidP="001B2828">
      <w:pPr>
        <w:spacing w:after="0" w:line="240" w:lineRule="auto"/>
        <w:rPr>
          <w:rFonts w:ascii="Arial" w:hAnsi="Arial" w:cs="Arial"/>
        </w:rPr>
      </w:pPr>
      <w:hyperlink r:id="rId11" w:history="1">
        <w:r>
          <w:rPr>
            <w:rStyle w:val="Hipervnculo"/>
            <w:rFonts w:eastAsia="Times New Roman"/>
            <w:lang w:eastAsia="es-CL"/>
          </w:rPr>
          <w:t>http://www.bis.org/publ/qtrpdf/r_qt1212e_es.pdf</w:t>
        </w:r>
      </w:hyperlink>
    </w:p>
    <w:sectPr w:rsidR="00E93DF3" w:rsidRPr="00B24DAA" w:rsidSect="00F35D39">
      <w:headerReference w:type="default" r:id="rId12"/>
      <w:footerReference w:type="default" r:id="rId13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C0" w:rsidRDefault="00B02BC0" w:rsidP="004F763A">
      <w:pPr>
        <w:spacing w:after="0" w:line="240" w:lineRule="auto"/>
      </w:pPr>
      <w:r>
        <w:separator/>
      </w:r>
    </w:p>
  </w:endnote>
  <w:endnote w:type="continuationSeparator" w:id="0">
    <w:p w:rsidR="00B02BC0" w:rsidRDefault="00B02BC0" w:rsidP="004F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7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AEA" w:rsidRDefault="00F41AEA">
        <w:pPr>
          <w:pStyle w:val="Piedepgina"/>
          <w:jc w:val="center"/>
        </w:pPr>
      </w:p>
      <w:p w:rsidR="00F41AEA" w:rsidRDefault="00F41AEA">
        <w:pPr>
          <w:pStyle w:val="Piedepgina"/>
          <w:jc w:val="center"/>
        </w:pPr>
        <w:r w:rsidRPr="004F763A">
          <w:rPr>
            <w:rFonts w:ascii="Arial" w:hAnsi="Arial" w:cs="Arial"/>
            <w:sz w:val="20"/>
            <w:szCs w:val="20"/>
          </w:rPr>
          <w:fldChar w:fldCharType="begin"/>
        </w:r>
        <w:r w:rsidRPr="004F76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F763A">
          <w:rPr>
            <w:rFonts w:ascii="Arial" w:hAnsi="Arial" w:cs="Arial"/>
            <w:sz w:val="20"/>
            <w:szCs w:val="20"/>
          </w:rPr>
          <w:fldChar w:fldCharType="separate"/>
        </w:r>
        <w:r w:rsidR="0023312C">
          <w:rPr>
            <w:rFonts w:ascii="Arial" w:hAnsi="Arial" w:cs="Arial"/>
            <w:noProof/>
            <w:sz w:val="20"/>
            <w:szCs w:val="20"/>
          </w:rPr>
          <w:t>4</w:t>
        </w:r>
        <w:r w:rsidRPr="004F76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F41AEA" w:rsidRDefault="00F41A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C0" w:rsidRDefault="00B02BC0" w:rsidP="004F763A">
      <w:pPr>
        <w:spacing w:after="0" w:line="240" w:lineRule="auto"/>
      </w:pPr>
      <w:r>
        <w:separator/>
      </w:r>
    </w:p>
  </w:footnote>
  <w:footnote w:type="continuationSeparator" w:id="0">
    <w:p w:rsidR="00B02BC0" w:rsidRDefault="00B02BC0" w:rsidP="004F763A">
      <w:pPr>
        <w:spacing w:after="0" w:line="240" w:lineRule="auto"/>
      </w:pPr>
      <w:r>
        <w:continuationSeparator/>
      </w:r>
    </w:p>
  </w:footnote>
  <w:footnote w:id="1">
    <w:p w:rsidR="00F41AEA" w:rsidRPr="00F647BD" w:rsidRDefault="00F41AEA" w:rsidP="00613ABB">
      <w:pPr>
        <w:pStyle w:val="Textonotapie"/>
        <w:jc w:val="both"/>
        <w:rPr>
          <w:rFonts w:ascii="Arial" w:hAnsi="Arial" w:cs="Arial"/>
          <w:lang w:val="es-MX"/>
        </w:rPr>
      </w:pPr>
      <w:r w:rsidRPr="003B6947">
        <w:rPr>
          <w:rStyle w:val="Refdenotaalpie"/>
          <w:rFonts w:ascii="Arial" w:hAnsi="Arial" w:cs="Arial"/>
        </w:rPr>
        <w:footnoteRef/>
      </w:r>
      <w:r w:rsidRPr="00F647BD">
        <w:rPr>
          <w:rFonts w:ascii="Arial" w:hAnsi="Arial" w:cs="Arial"/>
          <w:lang w:val="es-MX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Este estudio de caso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fue preparado por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Marcelo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Ramella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(Bermuda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Monetary Authority</w:t>
      </w:r>
      <w:r w:rsidRPr="003B6947">
        <w:rPr>
          <w:rFonts w:ascii="Arial" w:hAnsi="Arial" w:cs="Arial"/>
          <w:color w:val="333333"/>
          <w:lang w:val="es-ES"/>
        </w:rPr>
        <w:t xml:space="preserve">) y Sebastian </w:t>
      </w:r>
      <w:r w:rsidRPr="003B6947">
        <w:rPr>
          <w:rStyle w:val="hps"/>
          <w:rFonts w:ascii="Arial" w:hAnsi="Arial" w:cs="Arial"/>
          <w:color w:val="333333"/>
          <w:lang w:val="es-ES"/>
        </w:rPr>
        <w:t>von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Dahlen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(Asociación Internacional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de Supervisores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de Seguros).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Las opiniones expresadas en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el caso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son las de los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autores y no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necesariamente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reflejan las de la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BMA,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la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IAIS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o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cualquier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institución</w:t>
      </w:r>
      <w:r w:rsidRPr="003B6947">
        <w:rPr>
          <w:rFonts w:ascii="Arial" w:hAnsi="Arial" w:cs="Arial"/>
          <w:color w:val="333333"/>
          <w:lang w:val="es-ES"/>
        </w:rPr>
        <w:t xml:space="preserve"> </w:t>
      </w:r>
      <w:r w:rsidRPr="003B6947">
        <w:rPr>
          <w:rStyle w:val="hps"/>
          <w:rFonts w:ascii="Arial" w:hAnsi="Arial" w:cs="Arial"/>
          <w:color w:val="333333"/>
          <w:lang w:val="es-ES"/>
        </w:rPr>
        <w:t>afiliada.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EA" w:rsidRDefault="00F41AEA" w:rsidP="00C20625">
    <w:pPr>
      <w:pStyle w:val="Encabezado"/>
      <w:jc w:val="right"/>
    </w:pPr>
    <w:r>
      <w:rPr>
        <w:rFonts w:ascii="Arial" w:hAnsi="Arial" w:cs="Arial"/>
        <w:noProof/>
        <w:sz w:val="24"/>
        <w:szCs w:val="24"/>
        <w:lang w:val="es-CL" w:eastAsia="es-CL"/>
      </w:rPr>
      <w:drawing>
        <wp:inline distT="0" distB="0" distL="0" distR="0" wp14:anchorId="2195DF05" wp14:editId="0D99764C">
          <wp:extent cx="894080" cy="894080"/>
          <wp:effectExtent l="0" t="0" r="1270" b="1270"/>
          <wp:docPr id="2" name="Picture 2" descr="iai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i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AEA" w:rsidRDefault="00F41A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0A8"/>
    <w:multiLevelType w:val="hybridMultilevel"/>
    <w:tmpl w:val="C254C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8F0"/>
    <w:multiLevelType w:val="hybridMultilevel"/>
    <w:tmpl w:val="59C6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0D99"/>
    <w:multiLevelType w:val="hybridMultilevel"/>
    <w:tmpl w:val="8FBA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A3"/>
    <w:rsid w:val="0003365A"/>
    <w:rsid w:val="00053F80"/>
    <w:rsid w:val="000551F9"/>
    <w:rsid w:val="00060203"/>
    <w:rsid w:val="00062691"/>
    <w:rsid w:val="00076E71"/>
    <w:rsid w:val="000D52D4"/>
    <w:rsid w:val="000D7096"/>
    <w:rsid w:val="000E5008"/>
    <w:rsid w:val="001047E5"/>
    <w:rsid w:val="00104CA1"/>
    <w:rsid w:val="00117E46"/>
    <w:rsid w:val="00125B7F"/>
    <w:rsid w:val="001350B3"/>
    <w:rsid w:val="001458A3"/>
    <w:rsid w:val="00170C4A"/>
    <w:rsid w:val="0017577E"/>
    <w:rsid w:val="001953B4"/>
    <w:rsid w:val="001B05D5"/>
    <w:rsid w:val="001B2828"/>
    <w:rsid w:val="001C19F8"/>
    <w:rsid w:val="001F6619"/>
    <w:rsid w:val="00201216"/>
    <w:rsid w:val="00201D3C"/>
    <w:rsid w:val="00206DAB"/>
    <w:rsid w:val="0021454C"/>
    <w:rsid w:val="002301A1"/>
    <w:rsid w:val="002306FD"/>
    <w:rsid w:val="0023312C"/>
    <w:rsid w:val="00245969"/>
    <w:rsid w:val="0025468C"/>
    <w:rsid w:val="00265349"/>
    <w:rsid w:val="002A2C18"/>
    <w:rsid w:val="002D134B"/>
    <w:rsid w:val="00320098"/>
    <w:rsid w:val="00374992"/>
    <w:rsid w:val="00374FF7"/>
    <w:rsid w:val="003870A0"/>
    <w:rsid w:val="003B6947"/>
    <w:rsid w:val="003D1B1F"/>
    <w:rsid w:val="003E4856"/>
    <w:rsid w:val="003F0C87"/>
    <w:rsid w:val="003F2731"/>
    <w:rsid w:val="00412C92"/>
    <w:rsid w:val="004333A4"/>
    <w:rsid w:val="004429F9"/>
    <w:rsid w:val="00444004"/>
    <w:rsid w:val="004774A5"/>
    <w:rsid w:val="0048672E"/>
    <w:rsid w:val="0049343D"/>
    <w:rsid w:val="004A5B29"/>
    <w:rsid w:val="004D0C51"/>
    <w:rsid w:val="004F763A"/>
    <w:rsid w:val="00501B08"/>
    <w:rsid w:val="0054398D"/>
    <w:rsid w:val="005441A4"/>
    <w:rsid w:val="0056174B"/>
    <w:rsid w:val="00570E38"/>
    <w:rsid w:val="00576B57"/>
    <w:rsid w:val="00595079"/>
    <w:rsid w:val="005A69D4"/>
    <w:rsid w:val="005D1D0E"/>
    <w:rsid w:val="005D347F"/>
    <w:rsid w:val="005F5E14"/>
    <w:rsid w:val="00613ABB"/>
    <w:rsid w:val="006637D5"/>
    <w:rsid w:val="00665779"/>
    <w:rsid w:val="00674326"/>
    <w:rsid w:val="00677A76"/>
    <w:rsid w:val="006A4E75"/>
    <w:rsid w:val="006B38D4"/>
    <w:rsid w:val="006C1277"/>
    <w:rsid w:val="006C12A6"/>
    <w:rsid w:val="006C231B"/>
    <w:rsid w:val="006C3EC3"/>
    <w:rsid w:val="006F1642"/>
    <w:rsid w:val="006F7532"/>
    <w:rsid w:val="00705C3A"/>
    <w:rsid w:val="00722F9B"/>
    <w:rsid w:val="00723AA1"/>
    <w:rsid w:val="007666A0"/>
    <w:rsid w:val="00767D2A"/>
    <w:rsid w:val="0078684B"/>
    <w:rsid w:val="007A0A81"/>
    <w:rsid w:val="007A5590"/>
    <w:rsid w:val="007A7C1C"/>
    <w:rsid w:val="007C359A"/>
    <w:rsid w:val="007F0919"/>
    <w:rsid w:val="008014AD"/>
    <w:rsid w:val="008129A9"/>
    <w:rsid w:val="008144C1"/>
    <w:rsid w:val="00823185"/>
    <w:rsid w:val="00831EC4"/>
    <w:rsid w:val="00856F07"/>
    <w:rsid w:val="008641AC"/>
    <w:rsid w:val="008B0B27"/>
    <w:rsid w:val="008B7504"/>
    <w:rsid w:val="008C28DB"/>
    <w:rsid w:val="008C6398"/>
    <w:rsid w:val="008D4716"/>
    <w:rsid w:val="00915E48"/>
    <w:rsid w:val="00962D61"/>
    <w:rsid w:val="00972BDE"/>
    <w:rsid w:val="00975FC1"/>
    <w:rsid w:val="0098285F"/>
    <w:rsid w:val="00993585"/>
    <w:rsid w:val="009A09D7"/>
    <w:rsid w:val="009A307B"/>
    <w:rsid w:val="009B4239"/>
    <w:rsid w:val="009B796C"/>
    <w:rsid w:val="009C7A7F"/>
    <w:rsid w:val="009E0067"/>
    <w:rsid w:val="009E560A"/>
    <w:rsid w:val="009F74A7"/>
    <w:rsid w:val="00A01548"/>
    <w:rsid w:val="00A1304E"/>
    <w:rsid w:val="00A35A73"/>
    <w:rsid w:val="00A550F0"/>
    <w:rsid w:val="00A75915"/>
    <w:rsid w:val="00A80E3E"/>
    <w:rsid w:val="00A87A1E"/>
    <w:rsid w:val="00A97CCC"/>
    <w:rsid w:val="00AD6E87"/>
    <w:rsid w:val="00B02BC0"/>
    <w:rsid w:val="00B201A1"/>
    <w:rsid w:val="00B24C44"/>
    <w:rsid w:val="00B24DAA"/>
    <w:rsid w:val="00B312B3"/>
    <w:rsid w:val="00B3277B"/>
    <w:rsid w:val="00B445EE"/>
    <w:rsid w:val="00B5221B"/>
    <w:rsid w:val="00B53283"/>
    <w:rsid w:val="00B624CC"/>
    <w:rsid w:val="00B62FEB"/>
    <w:rsid w:val="00B92B68"/>
    <w:rsid w:val="00BB0DF1"/>
    <w:rsid w:val="00C04816"/>
    <w:rsid w:val="00C15483"/>
    <w:rsid w:val="00C17A21"/>
    <w:rsid w:val="00C20625"/>
    <w:rsid w:val="00C64C3F"/>
    <w:rsid w:val="00C65227"/>
    <w:rsid w:val="00C6586D"/>
    <w:rsid w:val="00CA043E"/>
    <w:rsid w:val="00CA34E8"/>
    <w:rsid w:val="00D043E0"/>
    <w:rsid w:val="00D16E5D"/>
    <w:rsid w:val="00D3363B"/>
    <w:rsid w:val="00D635A6"/>
    <w:rsid w:val="00D743FD"/>
    <w:rsid w:val="00D74D88"/>
    <w:rsid w:val="00D9740D"/>
    <w:rsid w:val="00DB089D"/>
    <w:rsid w:val="00DB5CD8"/>
    <w:rsid w:val="00DD2565"/>
    <w:rsid w:val="00DD311C"/>
    <w:rsid w:val="00DD79A1"/>
    <w:rsid w:val="00DE2A17"/>
    <w:rsid w:val="00DF69A3"/>
    <w:rsid w:val="00E42485"/>
    <w:rsid w:val="00E43A63"/>
    <w:rsid w:val="00E4468C"/>
    <w:rsid w:val="00E51BDF"/>
    <w:rsid w:val="00E656D0"/>
    <w:rsid w:val="00E67C75"/>
    <w:rsid w:val="00E81863"/>
    <w:rsid w:val="00E93DF3"/>
    <w:rsid w:val="00EB6D09"/>
    <w:rsid w:val="00EE4DF1"/>
    <w:rsid w:val="00EF5D37"/>
    <w:rsid w:val="00F06AB9"/>
    <w:rsid w:val="00F20D40"/>
    <w:rsid w:val="00F210EB"/>
    <w:rsid w:val="00F2443F"/>
    <w:rsid w:val="00F34800"/>
    <w:rsid w:val="00F35D39"/>
    <w:rsid w:val="00F41AEA"/>
    <w:rsid w:val="00F51ECE"/>
    <w:rsid w:val="00F647BD"/>
    <w:rsid w:val="00F95D8F"/>
    <w:rsid w:val="00FB0E34"/>
    <w:rsid w:val="00FB2E96"/>
    <w:rsid w:val="00FB4796"/>
    <w:rsid w:val="00FD39FF"/>
    <w:rsid w:val="00FE61F5"/>
    <w:rsid w:val="00FF69E8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63A"/>
  </w:style>
  <w:style w:type="paragraph" w:styleId="Piedepgina">
    <w:name w:val="footer"/>
    <w:basedOn w:val="Normal"/>
    <w:link w:val="PiedepginaCar"/>
    <w:uiPriority w:val="99"/>
    <w:unhideWhenUsed/>
    <w:rsid w:val="004F7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63A"/>
  </w:style>
  <w:style w:type="paragraph" w:styleId="Textoindependiente">
    <w:name w:val="Body Text"/>
    <w:basedOn w:val="Normal"/>
    <w:link w:val="TextoindependienteCar"/>
    <w:rsid w:val="00B327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3277B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68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35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0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0B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6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6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66A0"/>
    <w:rPr>
      <w:vertAlign w:val="superscript"/>
    </w:rPr>
  </w:style>
  <w:style w:type="character" w:customStyle="1" w:styleId="hps">
    <w:name w:val="hps"/>
    <w:basedOn w:val="Fuentedeprrafopredeter"/>
    <w:rsid w:val="005441A4"/>
  </w:style>
  <w:style w:type="character" w:styleId="Hipervnculo">
    <w:name w:val="Hyperlink"/>
    <w:basedOn w:val="Fuentedeprrafopredeter"/>
    <w:uiPriority w:val="99"/>
    <w:semiHidden/>
    <w:unhideWhenUsed/>
    <w:rsid w:val="00E93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C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7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63A"/>
  </w:style>
  <w:style w:type="paragraph" w:styleId="Piedepgina">
    <w:name w:val="footer"/>
    <w:basedOn w:val="Normal"/>
    <w:link w:val="PiedepginaCar"/>
    <w:uiPriority w:val="99"/>
    <w:unhideWhenUsed/>
    <w:rsid w:val="004F7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63A"/>
  </w:style>
  <w:style w:type="paragraph" w:styleId="Textoindependiente">
    <w:name w:val="Body Text"/>
    <w:basedOn w:val="Normal"/>
    <w:link w:val="TextoindependienteCar"/>
    <w:rsid w:val="00B327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3277B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68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350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0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0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0B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6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6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66A0"/>
    <w:rPr>
      <w:vertAlign w:val="superscript"/>
    </w:rPr>
  </w:style>
  <w:style w:type="character" w:customStyle="1" w:styleId="hps">
    <w:name w:val="hps"/>
    <w:basedOn w:val="Fuentedeprrafopredeter"/>
    <w:rsid w:val="005441A4"/>
  </w:style>
  <w:style w:type="character" w:styleId="Hipervnculo">
    <w:name w:val="Hyperlink"/>
    <w:basedOn w:val="Fuentedeprrafopredeter"/>
    <w:uiPriority w:val="99"/>
    <w:semiHidden/>
    <w:unhideWhenUsed/>
    <w:rsid w:val="00E93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.org/publ/qtrpdf/r_qt1212e_e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1" u="sng">
                <a:latin typeface="Arial" pitchFamily="34" charset="0"/>
                <a:cs typeface="Arial" pitchFamily="34" charset="0"/>
              </a:rPr>
              <a:t>Perdidas causadas por terremotos 1930</a:t>
            </a:r>
            <a:r>
              <a:rPr lang="en-US" sz="1000" b="1" u="sng" baseline="0">
                <a:latin typeface="Arial" pitchFamily="34" charset="0"/>
                <a:cs typeface="Arial" pitchFamily="34" charset="0"/>
              </a:rPr>
              <a:t> - 2012 en propiedades residenciales aseguradas</a:t>
            </a:r>
            <a:endParaRPr lang="en-US" sz="1000" b="1" u="sng"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en-US" sz="1000" b="1">
                <a:latin typeface="Arial" pitchFamily="34" charset="0"/>
                <a:cs typeface="Arial" pitchFamily="34" charset="0"/>
              </a:rPr>
              <a:t>($Millones a valor</a:t>
            </a:r>
            <a:r>
              <a:rPr lang="en-US" sz="1000" b="1" baseline="0">
                <a:latin typeface="Arial" pitchFamily="34" charset="0"/>
                <a:cs typeface="Arial" pitchFamily="34" charset="0"/>
              </a:rPr>
              <a:t> 2012 - Ajustadas por inflación, población, riqueza y cambios espaciales) </a:t>
            </a:r>
            <a:endParaRPr lang="en-US" sz="1000" b="1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1789518757285249"/>
          <c:y val="2.025316455696202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Sheet1!$E$2</c:f>
              <c:strCache>
                <c:ptCount val="1"/>
                <c:pt idx="0">
                  <c:v>Insured Losses</c:v>
                </c:pt>
              </c:strCache>
            </c:strRef>
          </c:tx>
          <c:invertIfNegative val="0"/>
          <c:cat>
            <c:numRef>
              <c:f>Sheet1!$D$3:$D$85</c:f>
              <c:numCache>
                <c:formatCode>General</c:formatCode>
                <c:ptCount val="83"/>
                <c:pt idx="0">
                  <c:v>1930</c:v>
                </c:pt>
                <c:pt idx="1">
                  <c:v>1931</c:v>
                </c:pt>
                <c:pt idx="2">
                  <c:v>1932</c:v>
                </c:pt>
                <c:pt idx="3">
                  <c:v>1933</c:v>
                </c:pt>
                <c:pt idx="4">
                  <c:v>1934</c:v>
                </c:pt>
                <c:pt idx="5">
                  <c:v>1935</c:v>
                </c:pt>
                <c:pt idx="6">
                  <c:v>1936</c:v>
                </c:pt>
                <c:pt idx="7">
                  <c:v>1937</c:v>
                </c:pt>
                <c:pt idx="8">
                  <c:v>1938</c:v>
                </c:pt>
                <c:pt idx="9">
                  <c:v>1939</c:v>
                </c:pt>
                <c:pt idx="10">
                  <c:v>1940</c:v>
                </c:pt>
                <c:pt idx="11">
                  <c:v>1941</c:v>
                </c:pt>
                <c:pt idx="12">
                  <c:v>1942</c:v>
                </c:pt>
                <c:pt idx="13">
                  <c:v>1943</c:v>
                </c:pt>
                <c:pt idx="14">
                  <c:v>1944</c:v>
                </c:pt>
                <c:pt idx="15">
                  <c:v>1945</c:v>
                </c:pt>
                <c:pt idx="16">
                  <c:v>1946</c:v>
                </c:pt>
                <c:pt idx="17">
                  <c:v>1947</c:v>
                </c:pt>
                <c:pt idx="18">
                  <c:v>1948</c:v>
                </c:pt>
                <c:pt idx="19">
                  <c:v>1949</c:v>
                </c:pt>
                <c:pt idx="20">
                  <c:v>1950</c:v>
                </c:pt>
                <c:pt idx="21">
                  <c:v>1951</c:v>
                </c:pt>
                <c:pt idx="22">
                  <c:v>1952</c:v>
                </c:pt>
                <c:pt idx="23">
                  <c:v>1953</c:v>
                </c:pt>
                <c:pt idx="24">
                  <c:v>1954</c:v>
                </c:pt>
                <c:pt idx="25">
                  <c:v>1955</c:v>
                </c:pt>
                <c:pt idx="26">
                  <c:v>1956</c:v>
                </c:pt>
                <c:pt idx="27">
                  <c:v>1957</c:v>
                </c:pt>
                <c:pt idx="28">
                  <c:v>1958</c:v>
                </c:pt>
                <c:pt idx="29">
                  <c:v>1959</c:v>
                </c:pt>
                <c:pt idx="30">
                  <c:v>1960</c:v>
                </c:pt>
                <c:pt idx="31">
                  <c:v>1961</c:v>
                </c:pt>
                <c:pt idx="32">
                  <c:v>1962</c:v>
                </c:pt>
                <c:pt idx="33">
                  <c:v>1963</c:v>
                </c:pt>
                <c:pt idx="34">
                  <c:v>1964</c:v>
                </c:pt>
                <c:pt idx="35">
                  <c:v>1965</c:v>
                </c:pt>
                <c:pt idx="36">
                  <c:v>1966</c:v>
                </c:pt>
                <c:pt idx="37">
                  <c:v>1967</c:v>
                </c:pt>
                <c:pt idx="38">
                  <c:v>1968</c:v>
                </c:pt>
                <c:pt idx="39">
                  <c:v>1969</c:v>
                </c:pt>
                <c:pt idx="40">
                  <c:v>1970</c:v>
                </c:pt>
                <c:pt idx="41">
                  <c:v>1971</c:v>
                </c:pt>
                <c:pt idx="42">
                  <c:v>1972</c:v>
                </c:pt>
                <c:pt idx="43">
                  <c:v>1973</c:v>
                </c:pt>
                <c:pt idx="44">
                  <c:v>1974</c:v>
                </c:pt>
                <c:pt idx="45">
                  <c:v>1975</c:v>
                </c:pt>
                <c:pt idx="46">
                  <c:v>1976</c:v>
                </c:pt>
                <c:pt idx="47">
                  <c:v>1977</c:v>
                </c:pt>
                <c:pt idx="48">
                  <c:v>1978</c:v>
                </c:pt>
                <c:pt idx="49">
                  <c:v>1979</c:v>
                </c:pt>
                <c:pt idx="50">
                  <c:v>1980</c:v>
                </c:pt>
                <c:pt idx="51">
                  <c:v>1981</c:v>
                </c:pt>
                <c:pt idx="52">
                  <c:v>1982</c:v>
                </c:pt>
                <c:pt idx="53">
                  <c:v>1983</c:v>
                </c:pt>
                <c:pt idx="54">
                  <c:v>1984</c:v>
                </c:pt>
                <c:pt idx="55">
                  <c:v>1985</c:v>
                </c:pt>
                <c:pt idx="56">
                  <c:v>1986</c:v>
                </c:pt>
                <c:pt idx="57">
                  <c:v>1987</c:v>
                </c:pt>
                <c:pt idx="58">
                  <c:v>1988</c:v>
                </c:pt>
                <c:pt idx="59">
                  <c:v>1989</c:v>
                </c:pt>
                <c:pt idx="60">
                  <c:v>1990</c:v>
                </c:pt>
                <c:pt idx="61">
                  <c:v>1991</c:v>
                </c:pt>
                <c:pt idx="62">
                  <c:v>1992</c:v>
                </c:pt>
                <c:pt idx="63">
                  <c:v>1993</c:v>
                </c:pt>
                <c:pt idx="64">
                  <c:v>1994</c:v>
                </c:pt>
                <c:pt idx="65">
                  <c:v>1995</c:v>
                </c:pt>
                <c:pt idx="66">
                  <c:v>1996</c:v>
                </c:pt>
                <c:pt idx="67">
                  <c:v>1997</c:v>
                </c:pt>
                <c:pt idx="68">
                  <c:v>1998</c:v>
                </c:pt>
                <c:pt idx="69">
                  <c:v>1999</c:v>
                </c:pt>
                <c:pt idx="70">
                  <c:v>2000</c:v>
                </c:pt>
                <c:pt idx="71">
                  <c:v>2001</c:v>
                </c:pt>
                <c:pt idx="72">
                  <c:v>2002</c:v>
                </c:pt>
                <c:pt idx="73">
                  <c:v>2003</c:v>
                </c:pt>
                <c:pt idx="74">
                  <c:v>2004</c:v>
                </c:pt>
                <c:pt idx="75">
                  <c:v>2005</c:v>
                </c:pt>
                <c:pt idx="76">
                  <c:v>2006</c:v>
                </c:pt>
                <c:pt idx="77">
                  <c:v>2007</c:v>
                </c:pt>
                <c:pt idx="78">
                  <c:v>2008</c:v>
                </c:pt>
                <c:pt idx="79">
                  <c:v>2009</c:v>
                </c:pt>
                <c:pt idx="80">
                  <c:v>2010</c:v>
                </c:pt>
                <c:pt idx="81">
                  <c:v>2011</c:v>
                </c:pt>
                <c:pt idx="82">
                  <c:v>2012</c:v>
                </c:pt>
              </c:numCache>
            </c:numRef>
          </c:cat>
          <c:val>
            <c:numRef>
              <c:f>Sheet1!$E$3:$E$85</c:f>
              <c:numCache>
                <c:formatCode>_(* #,##0_);_(* \(#,##0\);_(* "-"??_);_(@_)</c:formatCode>
                <c:ptCount val="83"/>
                <c:pt idx="0">
                  <c:v>130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  <c:pt idx="5">
                  <c:v>154</c:v>
                </c:pt>
                <c:pt idx="6">
                  <c:v>16</c:v>
                </c:pt>
                <c:pt idx="7">
                  <c:v>12</c:v>
                </c:pt>
                <c:pt idx="8">
                  <c:v>110</c:v>
                </c:pt>
                <c:pt idx="9">
                  <c:v>8</c:v>
                </c:pt>
                <c:pt idx="10">
                  <c:v>6</c:v>
                </c:pt>
                <c:pt idx="11">
                  <c:v>700</c:v>
                </c:pt>
                <c:pt idx="12">
                  <c:v>16</c:v>
                </c:pt>
                <c:pt idx="13">
                  <c:v>14</c:v>
                </c:pt>
                <c:pt idx="14">
                  <c:v>10</c:v>
                </c:pt>
                <c:pt idx="15">
                  <c:v>8</c:v>
                </c:pt>
                <c:pt idx="16">
                  <c:v>8</c:v>
                </c:pt>
                <c:pt idx="17">
                  <c:v>178</c:v>
                </c:pt>
                <c:pt idx="18">
                  <c:v>16</c:v>
                </c:pt>
                <c:pt idx="19">
                  <c:v>10</c:v>
                </c:pt>
                <c:pt idx="20">
                  <c:v>14</c:v>
                </c:pt>
                <c:pt idx="21">
                  <c:v>4400</c:v>
                </c:pt>
                <c:pt idx="22">
                  <c:v>10</c:v>
                </c:pt>
                <c:pt idx="23">
                  <c:v>8</c:v>
                </c:pt>
                <c:pt idx="24">
                  <c:v>4</c:v>
                </c:pt>
                <c:pt idx="25">
                  <c:v>2</c:v>
                </c:pt>
                <c:pt idx="26">
                  <c:v>4</c:v>
                </c:pt>
                <c:pt idx="27">
                  <c:v>68</c:v>
                </c:pt>
                <c:pt idx="28">
                  <c:v>10</c:v>
                </c:pt>
                <c:pt idx="29">
                  <c:v>12</c:v>
                </c:pt>
                <c:pt idx="30">
                  <c:v>154</c:v>
                </c:pt>
                <c:pt idx="31">
                  <c:v>12</c:v>
                </c:pt>
                <c:pt idx="32">
                  <c:v>108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6</c:v>
                </c:pt>
                <c:pt idx="37">
                  <c:v>8</c:v>
                </c:pt>
                <c:pt idx="38">
                  <c:v>10</c:v>
                </c:pt>
                <c:pt idx="39">
                  <c:v>1380</c:v>
                </c:pt>
                <c:pt idx="40">
                  <c:v>12</c:v>
                </c:pt>
                <c:pt idx="41">
                  <c:v>10</c:v>
                </c:pt>
                <c:pt idx="42">
                  <c:v>66</c:v>
                </c:pt>
                <c:pt idx="43">
                  <c:v>4</c:v>
                </c:pt>
                <c:pt idx="44">
                  <c:v>6</c:v>
                </c:pt>
                <c:pt idx="45">
                  <c:v>420</c:v>
                </c:pt>
                <c:pt idx="46">
                  <c:v>112</c:v>
                </c:pt>
                <c:pt idx="47">
                  <c:v>10</c:v>
                </c:pt>
                <c:pt idx="48">
                  <c:v>12</c:v>
                </c:pt>
                <c:pt idx="49">
                  <c:v>14</c:v>
                </c:pt>
                <c:pt idx="50">
                  <c:v>16</c:v>
                </c:pt>
                <c:pt idx="51">
                  <c:v>18</c:v>
                </c:pt>
                <c:pt idx="52">
                  <c:v>8</c:v>
                </c:pt>
                <c:pt idx="53">
                  <c:v>6</c:v>
                </c:pt>
                <c:pt idx="54">
                  <c:v>700</c:v>
                </c:pt>
                <c:pt idx="55">
                  <c:v>10</c:v>
                </c:pt>
                <c:pt idx="56">
                  <c:v>65</c:v>
                </c:pt>
                <c:pt idx="57">
                  <c:v>567</c:v>
                </c:pt>
                <c:pt idx="58">
                  <c:v>78</c:v>
                </c:pt>
                <c:pt idx="59">
                  <c:v>6</c:v>
                </c:pt>
                <c:pt idx="60">
                  <c:v>12</c:v>
                </c:pt>
                <c:pt idx="61">
                  <c:v>34</c:v>
                </c:pt>
                <c:pt idx="62">
                  <c:v>40</c:v>
                </c:pt>
                <c:pt idx="63">
                  <c:v>68</c:v>
                </c:pt>
                <c:pt idx="64">
                  <c:v>108</c:v>
                </c:pt>
                <c:pt idx="65">
                  <c:v>66</c:v>
                </c:pt>
                <c:pt idx="66">
                  <c:v>342</c:v>
                </c:pt>
                <c:pt idx="67">
                  <c:v>152</c:v>
                </c:pt>
                <c:pt idx="68">
                  <c:v>300</c:v>
                </c:pt>
                <c:pt idx="69">
                  <c:v>16</c:v>
                </c:pt>
                <c:pt idx="70">
                  <c:v>10</c:v>
                </c:pt>
                <c:pt idx="71">
                  <c:v>34</c:v>
                </c:pt>
                <c:pt idx="72">
                  <c:v>152</c:v>
                </c:pt>
                <c:pt idx="73">
                  <c:v>130</c:v>
                </c:pt>
                <c:pt idx="74">
                  <c:v>688</c:v>
                </c:pt>
                <c:pt idx="75">
                  <c:v>76</c:v>
                </c:pt>
                <c:pt idx="76">
                  <c:v>56</c:v>
                </c:pt>
                <c:pt idx="77">
                  <c:v>666</c:v>
                </c:pt>
                <c:pt idx="78">
                  <c:v>134</c:v>
                </c:pt>
                <c:pt idx="79">
                  <c:v>160</c:v>
                </c:pt>
                <c:pt idx="80">
                  <c:v>334</c:v>
                </c:pt>
                <c:pt idx="81">
                  <c:v>264</c:v>
                </c:pt>
                <c:pt idx="82">
                  <c:v>508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85097088"/>
        <c:axId val="91838336"/>
      </c:barChart>
      <c:catAx>
        <c:axId val="850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838336"/>
        <c:crosses val="autoZero"/>
        <c:auto val="1"/>
        <c:lblAlgn val="ctr"/>
        <c:lblOffset val="100"/>
        <c:noMultiLvlLbl val="0"/>
      </c:catAx>
      <c:valAx>
        <c:axId val="91838336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crossAx val="850970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DCAE-B5EE-4CD8-A0A3-73F97498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1330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Bermuda Monetary Authority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Reyes Rossel Claudia Andrea</cp:lastModifiedBy>
  <cp:revision>6</cp:revision>
  <cp:lastPrinted>2013-03-25T14:27:00Z</cp:lastPrinted>
  <dcterms:created xsi:type="dcterms:W3CDTF">2013-04-19T18:26:00Z</dcterms:created>
  <dcterms:modified xsi:type="dcterms:W3CDTF">2013-04-19T18:46:00Z</dcterms:modified>
</cp:coreProperties>
</file>